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71786" w14:textId="34A0169F" w:rsidR="00B92069" w:rsidRDefault="00B92069"/>
    <w:p w14:paraId="08B2852A" w14:textId="77777777" w:rsidR="006A1DE2" w:rsidRDefault="006A1DE2" w:rsidP="00D83718">
      <w:pPr>
        <w:spacing w:after="0"/>
        <w:jc w:val="center"/>
        <w:rPr>
          <w:rFonts w:ascii="Calibri" w:eastAsia="Calibri" w:hAnsi="Calibri" w:cs="Calibri"/>
          <w:b/>
          <w:sz w:val="28"/>
          <w:szCs w:val="28"/>
        </w:rPr>
      </w:pPr>
      <w:bookmarkStart w:id="0" w:name="_heading=h.ub2k6k91gwmk" w:colFirst="0" w:colLast="0"/>
      <w:bookmarkEnd w:id="0"/>
    </w:p>
    <w:p w14:paraId="6A093396" w14:textId="4FA71B55" w:rsidR="00D83718" w:rsidRDefault="00D83718" w:rsidP="2229454E">
      <w:pPr>
        <w:spacing w:after="0"/>
        <w:jc w:val="center"/>
        <w:rPr>
          <w:rFonts w:ascii="Calibri" w:eastAsia="Calibri" w:hAnsi="Calibri" w:cs="Calibri"/>
          <w:b/>
          <w:bCs/>
          <w:sz w:val="28"/>
          <w:szCs w:val="28"/>
        </w:rPr>
      </w:pPr>
      <w:r w:rsidRPr="59EBABAF">
        <w:rPr>
          <w:rFonts w:ascii="Calibri" w:eastAsia="Calibri" w:hAnsi="Calibri" w:cs="Calibri"/>
          <w:b/>
          <w:bCs/>
          <w:sz w:val="28"/>
          <w:szCs w:val="28"/>
        </w:rPr>
        <w:t xml:space="preserve">Droichead </w:t>
      </w:r>
      <w:r w:rsidR="008077DC" w:rsidRPr="59EBABAF">
        <w:rPr>
          <w:rFonts w:ascii="Calibri" w:eastAsia="Calibri" w:hAnsi="Calibri" w:cs="Calibri"/>
          <w:b/>
          <w:bCs/>
          <w:sz w:val="28"/>
          <w:szCs w:val="28"/>
        </w:rPr>
        <w:t>- Standards and Induction Plan</w:t>
      </w:r>
      <w:r w:rsidR="6119880E" w:rsidRPr="59EBABAF">
        <w:rPr>
          <w:rFonts w:ascii="Calibri" w:eastAsia="Calibri" w:hAnsi="Calibri" w:cs="Calibri"/>
          <w:b/>
          <w:bCs/>
          <w:sz w:val="28"/>
          <w:szCs w:val="28"/>
        </w:rPr>
        <w:t xml:space="preserve"> (Blank Template)</w:t>
      </w:r>
      <w:r w:rsidR="008077DC" w:rsidRPr="59EBABAF">
        <w:rPr>
          <w:rFonts w:ascii="Calibri" w:eastAsia="Calibri" w:hAnsi="Calibri" w:cs="Calibri"/>
          <w:b/>
          <w:bCs/>
          <w:sz w:val="28"/>
          <w:szCs w:val="28"/>
        </w:rPr>
        <w:t xml:space="preserve"> -</w:t>
      </w:r>
      <w:r w:rsidRPr="59EBABAF">
        <w:rPr>
          <w:rFonts w:ascii="Calibri" w:eastAsia="Calibri" w:hAnsi="Calibri" w:cs="Calibri"/>
          <w:b/>
          <w:bCs/>
          <w:sz w:val="28"/>
          <w:szCs w:val="28"/>
        </w:rPr>
        <w:t xml:space="preserve"> Primary</w:t>
      </w:r>
      <w:bookmarkStart w:id="1" w:name="_GoBack"/>
      <w:bookmarkEnd w:id="1"/>
    </w:p>
    <w:p w14:paraId="7C9099D7" w14:textId="6E15D9CE" w:rsidR="00D83718" w:rsidRPr="00D83718" w:rsidRDefault="00D83718" w:rsidP="00D83718">
      <w:pPr>
        <w:spacing w:after="0"/>
        <w:jc w:val="center"/>
        <w:rPr>
          <w:rFonts w:ascii="Calibri" w:eastAsia="Calibri" w:hAnsi="Calibri" w:cs="Calibri"/>
          <w:b/>
          <w:sz w:val="28"/>
          <w:szCs w:val="28"/>
        </w:rPr>
      </w:pPr>
      <w:r>
        <w:rPr>
          <w:rFonts w:ascii="Calibri" w:eastAsia="Calibri" w:hAnsi="Calibri" w:cs="Calibri"/>
          <w:b/>
          <w:sz w:val="28"/>
          <w:szCs w:val="28"/>
        </w:rPr>
        <w:t>{One plan for each individual Newly Qualified Teacher (NQT)}</w:t>
      </w:r>
    </w:p>
    <w:tbl>
      <w:tblPr>
        <w:tblW w:w="160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5"/>
        <w:gridCol w:w="3032"/>
        <w:gridCol w:w="3031"/>
        <w:gridCol w:w="3032"/>
        <w:gridCol w:w="3599"/>
      </w:tblGrid>
      <w:tr w:rsidR="00D83718" w14:paraId="712A3FA4" w14:textId="77777777" w:rsidTr="59EBABAF">
        <w:trPr>
          <w:trHeight w:val="420"/>
          <w:jc w:val="center"/>
        </w:trPr>
        <w:tc>
          <w:tcPr>
            <w:tcW w:w="16019" w:type="dxa"/>
            <w:gridSpan w:val="5"/>
            <w:shd w:val="clear" w:color="auto" w:fill="1987A8"/>
            <w:tcMar>
              <w:top w:w="100" w:type="dxa"/>
              <w:left w:w="100" w:type="dxa"/>
              <w:bottom w:w="100" w:type="dxa"/>
              <w:right w:w="100" w:type="dxa"/>
            </w:tcMar>
            <w:vAlign w:val="center"/>
          </w:tcPr>
          <w:p w14:paraId="474D079F" w14:textId="77777777" w:rsidR="00D83718" w:rsidRDefault="00D83718" w:rsidP="008077DC">
            <w:pPr>
              <w:widowControl w:val="0"/>
              <w:pBdr>
                <w:top w:val="nil"/>
                <w:left w:val="nil"/>
                <w:bottom w:val="nil"/>
                <w:right w:val="nil"/>
                <w:between w:val="nil"/>
              </w:pBdr>
              <w:spacing w:after="0" w:line="240" w:lineRule="auto"/>
              <w:jc w:val="center"/>
              <w:rPr>
                <w:b/>
              </w:rPr>
            </w:pPr>
            <w:r>
              <w:rPr>
                <w:b/>
                <w:color w:val="FFFFFF"/>
              </w:rPr>
              <w:t>Explanatory Notes</w:t>
            </w:r>
          </w:p>
        </w:tc>
      </w:tr>
      <w:tr w:rsidR="00D83718" w14:paraId="5BDC8E01" w14:textId="77777777" w:rsidTr="59EBABAF">
        <w:trPr>
          <w:jc w:val="center"/>
        </w:trPr>
        <w:tc>
          <w:tcPr>
            <w:tcW w:w="3325" w:type="dxa"/>
            <w:shd w:val="clear" w:color="auto" w:fill="44A0BB"/>
            <w:tcMar>
              <w:top w:w="100" w:type="dxa"/>
              <w:left w:w="100" w:type="dxa"/>
              <w:bottom w:w="100" w:type="dxa"/>
              <w:right w:w="100" w:type="dxa"/>
            </w:tcMar>
            <w:vAlign w:val="center"/>
          </w:tcPr>
          <w:p w14:paraId="7CD87175" w14:textId="77777777" w:rsidR="00D83718" w:rsidRPr="008077DC" w:rsidRDefault="00D83718" w:rsidP="008077DC">
            <w:pPr>
              <w:spacing w:after="0"/>
              <w:jc w:val="center"/>
              <w:rPr>
                <w:b/>
                <w:color w:val="FFFFFF"/>
              </w:rPr>
            </w:pPr>
            <w:r w:rsidRPr="008077DC">
              <w:rPr>
                <w:b/>
                <w:color w:val="FFFFFF"/>
              </w:rPr>
              <w:t>Droichead Standards</w:t>
            </w:r>
          </w:p>
        </w:tc>
        <w:tc>
          <w:tcPr>
            <w:tcW w:w="3032" w:type="dxa"/>
            <w:shd w:val="clear" w:color="auto" w:fill="44A0BB"/>
            <w:vAlign w:val="center"/>
          </w:tcPr>
          <w:p w14:paraId="16859183" w14:textId="77777777" w:rsidR="00D83718" w:rsidRDefault="00D83718" w:rsidP="008077DC">
            <w:pPr>
              <w:widowControl w:val="0"/>
              <w:pBdr>
                <w:top w:val="nil"/>
                <w:left w:val="nil"/>
                <w:bottom w:val="nil"/>
                <w:right w:val="nil"/>
                <w:between w:val="nil"/>
              </w:pBdr>
              <w:spacing w:after="0" w:line="240" w:lineRule="auto"/>
              <w:jc w:val="center"/>
              <w:rPr>
                <w:b/>
                <w:color w:val="FFFFFF"/>
              </w:rPr>
            </w:pPr>
            <w:r>
              <w:rPr>
                <w:b/>
                <w:color w:val="FFFFFF"/>
              </w:rPr>
              <w:t>Indicators of Good Practice</w:t>
            </w:r>
          </w:p>
        </w:tc>
        <w:tc>
          <w:tcPr>
            <w:tcW w:w="3031" w:type="dxa"/>
            <w:shd w:val="clear" w:color="auto" w:fill="44A0BB"/>
            <w:vAlign w:val="center"/>
          </w:tcPr>
          <w:p w14:paraId="1D2C19BF" w14:textId="77777777" w:rsidR="00D83718" w:rsidRDefault="00D83718" w:rsidP="008077DC">
            <w:pPr>
              <w:spacing w:after="0"/>
              <w:jc w:val="center"/>
              <w:rPr>
                <w:b/>
                <w:color w:val="FFFFFF"/>
              </w:rPr>
            </w:pPr>
            <w:r>
              <w:rPr>
                <w:b/>
                <w:color w:val="FFFFFF"/>
              </w:rPr>
              <w:t>School Context Examples</w:t>
            </w:r>
          </w:p>
        </w:tc>
        <w:tc>
          <w:tcPr>
            <w:tcW w:w="3032" w:type="dxa"/>
            <w:shd w:val="clear" w:color="auto" w:fill="44A0BB"/>
            <w:vAlign w:val="center"/>
          </w:tcPr>
          <w:p w14:paraId="3FE46EFB" w14:textId="77777777" w:rsidR="00D83718" w:rsidRDefault="00D83718" w:rsidP="008077DC">
            <w:pPr>
              <w:spacing w:after="0"/>
              <w:jc w:val="center"/>
              <w:rPr>
                <w:b/>
                <w:color w:val="FFFFFF"/>
              </w:rPr>
            </w:pPr>
            <w:r>
              <w:rPr>
                <w:b/>
                <w:color w:val="FFFFFF"/>
              </w:rPr>
              <w:t>Emerging Needs</w:t>
            </w:r>
          </w:p>
        </w:tc>
        <w:tc>
          <w:tcPr>
            <w:tcW w:w="3599" w:type="dxa"/>
            <w:shd w:val="clear" w:color="auto" w:fill="44A0BB"/>
            <w:vAlign w:val="center"/>
          </w:tcPr>
          <w:p w14:paraId="39826EAC" w14:textId="77777777" w:rsidR="00D83718" w:rsidRDefault="00D83718" w:rsidP="008077DC">
            <w:pPr>
              <w:spacing w:after="0"/>
              <w:jc w:val="center"/>
              <w:rPr>
                <w:b/>
                <w:color w:val="FFFFFF"/>
              </w:rPr>
            </w:pPr>
            <w:r>
              <w:rPr>
                <w:b/>
                <w:color w:val="FFFFFF"/>
              </w:rPr>
              <w:t>Induction Activities</w:t>
            </w:r>
          </w:p>
        </w:tc>
      </w:tr>
      <w:tr w:rsidR="00D83718" w14:paraId="282F00FD" w14:textId="77777777" w:rsidTr="59EBABAF">
        <w:trPr>
          <w:jc w:val="center"/>
        </w:trPr>
        <w:tc>
          <w:tcPr>
            <w:tcW w:w="3325" w:type="dxa"/>
            <w:vMerge w:val="restart"/>
            <w:shd w:val="clear" w:color="auto" w:fill="B6D7A8"/>
            <w:tcMar>
              <w:top w:w="100" w:type="dxa"/>
              <w:left w:w="100" w:type="dxa"/>
              <w:bottom w:w="100" w:type="dxa"/>
              <w:right w:w="100" w:type="dxa"/>
            </w:tcMar>
          </w:tcPr>
          <w:p w14:paraId="3740AE2E" w14:textId="77777777" w:rsidR="00D83718" w:rsidRDefault="00D83718" w:rsidP="006A1DE2">
            <w:pPr>
              <w:spacing w:after="0"/>
            </w:pPr>
            <w:r>
              <w:t xml:space="preserve">The Teaching Council established three standards to support the Droichead process, in guiding the Newly Qualified Teacher (NQT), with the Professional Support Team (PST), in relation to their professional learning and practice. </w:t>
            </w:r>
          </w:p>
          <w:p w14:paraId="4766F12E" w14:textId="77777777" w:rsidR="00D83718" w:rsidRDefault="00D83718" w:rsidP="006A1DE2">
            <w:pPr>
              <w:spacing w:after="0"/>
            </w:pPr>
          </w:p>
          <w:p w14:paraId="533F3CB7" w14:textId="77777777" w:rsidR="00D83718" w:rsidRDefault="00D83718" w:rsidP="006A1DE2">
            <w:pPr>
              <w:spacing w:after="0"/>
            </w:pPr>
            <w:r>
              <w:t>These three standards are fixed and support and guide the NQT and PST when making their declarations at the end of the process.  </w:t>
            </w:r>
          </w:p>
        </w:tc>
        <w:tc>
          <w:tcPr>
            <w:tcW w:w="3032" w:type="dxa"/>
            <w:shd w:val="clear" w:color="auto" w:fill="D0E0E3"/>
          </w:tcPr>
          <w:p w14:paraId="3C090B80" w14:textId="77777777" w:rsidR="00D83718" w:rsidRDefault="00D83718" w:rsidP="006A1DE2">
            <w:pPr>
              <w:spacing w:after="0"/>
            </w:pPr>
            <w:r>
              <w:t>Indicators of good practice explain the standards in greater detail and can be adapted by schools.</w:t>
            </w:r>
          </w:p>
          <w:p w14:paraId="420B113B" w14:textId="77777777" w:rsidR="00D83718" w:rsidRDefault="00D83718" w:rsidP="006A1DE2">
            <w:pPr>
              <w:widowControl w:val="0"/>
              <w:pBdr>
                <w:top w:val="nil"/>
                <w:left w:val="nil"/>
                <w:bottom w:val="nil"/>
                <w:right w:val="nil"/>
                <w:between w:val="nil"/>
              </w:pBdr>
              <w:spacing w:after="0" w:line="240" w:lineRule="auto"/>
              <w:rPr>
                <w:b/>
              </w:rPr>
            </w:pPr>
          </w:p>
        </w:tc>
        <w:tc>
          <w:tcPr>
            <w:tcW w:w="3031" w:type="dxa"/>
            <w:shd w:val="clear" w:color="auto" w:fill="D0E0E3"/>
          </w:tcPr>
          <w:p w14:paraId="3DA0D535" w14:textId="77777777" w:rsidR="00D83718" w:rsidRDefault="00D83718" w:rsidP="006A1DE2">
            <w:pPr>
              <w:rPr>
                <w:b/>
              </w:rPr>
            </w:pPr>
            <w:r>
              <w:t xml:space="preserve">Where a PST opts to use indicators and examples, it is advised that they be refined according to the unique school context.  </w:t>
            </w:r>
          </w:p>
          <w:p w14:paraId="5E2024C0" w14:textId="77777777" w:rsidR="00D83718" w:rsidRDefault="00D83718" w:rsidP="006A1DE2">
            <w:r>
              <w:t>Only relevant school context examples are required.</w:t>
            </w:r>
          </w:p>
        </w:tc>
        <w:tc>
          <w:tcPr>
            <w:tcW w:w="3032" w:type="dxa"/>
            <w:shd w:val="clear" w:color="auto" w:fill="FFE599" w:themeFill="accent4" w:themeFillTint="66"/>
          </w:tcPr>
          <w:p w14:paraId="122EB311" w14:textId="77777777" w:rsidR="00D83718" w:rsidRDefault="00D83718" w:rsidP="006A1DE2">
            <w:pPr>
              <w:spacing w:after="0"/>
            </w:pPr>
            <w:r>
              <w:t>NQTs’ needs are identified in real-time</w:t>
            </w:r>
          </w:p>
          <w:p w14:paraId="24985A6F" w14:textId="77777777" w:rsidR="00D83718" w:rsidRDefault="00D83718" w:rsidP="006A1DE2">
            <w:pPr>
              <w:spacing w:after="0"/>
            </w:pPr>
          </w:p>
          <w:p w14:paraId="03D22434" w14:textId="77777777" w:rsidR="00D83718" w:rsidRDefault="00D83718" w:rsidP="006A1DE2">
            <w:pPr>
              <w:spacing w:after="0"/>
            </w:pPr>
            <w:r>
              <w:t>It is not envisaged that an NQT will present with emerging needs for each indicator. Only needs and supports relevant to an NQT's individual process are captured.</w:t>
            </w:r>
          </w:p>
        </w:tc>
        <w:tc>
          <w:tcPr>
            <w:tcW w:w="3599" w:type="dxa"/>
            <w:shd w:val="clear" w:color="auto" w:fill="FFE599" w:themeFill="accent4" w:themeFillTint="66"/>
          </w:tcPr>
          <w:p w14:paraId="2FC38422" w14:textId="77777777" w:rsidR="00D83718" w:rsidRDefault="00D83718" w:rsidP="006A1DE2">
            <w:pPr>
              <w:spacing w:after="0"/>
            </w:pPr>
            <w:r>
              <w:t>Related induction activities are identified in response to emerging needs.</w:t>
            </w:r>
          </w:p>
          <w:p w14:paraId="7AB0CA64" w14:textId="77777777" w:rsidR="00D83718" w:rsidRDefault="00D83718" w:rsidP="006A1DE2">
            <w:pPr>
              <w:spacing w:after="0"/>
            </w:pPr>
          </w:p>
          <w:p w14:paraId="6B514773" w14:textId="5643A10D" w:rsidR="00D83718" w:rsidRDefault="00D83718" w:rsidP="006A1DE2">
            <w:pPr>
              <w:spacing w:after="0"/>
            </w:pPr>
            <w:r>
              <w:t xml:space="preserve">Induction activities are supports which have been put in place to meet those needs. These are unique to each individual NQT’s </w:t>
            </w:r>
            <w:r w:rsidR="7EF22A02">
              <w:t>process,</w:t>
            </w:r>
            <w:r>
              <w:t xml:space="preserve"> and this document serves as a running record of the NQT’s emerging needs.</w:t>
            </w:r>
          </w:p>
        </w:tc>
      </w:tr>
      <w:tr w:rsidR="00D83718" w14:paraId="7A4BAE3A" w14:textId="77777777" w:rsidTr="59EBABAF">
        <w:trPr>
          <w:jc w:val="center"/>
        </w:trPr>
        <w:tc>
          <w:tcPr>
            <w:tcW w:w="3325" w:type="dxa"/>
            <w:vMerge/>
            <w:tcMar>
              <w:top w:w="100" w:type="dxa"/>
              <w:left w:w="100" w:type="dxa"/>
              <w:bottom w:w="100" w:type="dxa"/>
              <w:right w:w="100" w:type="dxa"/>
            </w:tcMar>
          </w:tcPr>
          <w:p w14:paraId="2E45A747" w14:textId="77777777" w:rsidR="00D83718" w:rsidRDefault="00D83718" w:rsidP="006A1DE2">
            <w:pPr>
              <w:widowControl w:val="0"/>
              <w:pBdr>
                <w:top w:val="nil"/>
                <w:left w:val="nil"/>
                <w:bottom w:val="nil"/>
                <w:right w:val="nil"/>
                <w:between w:val="nil"/>
              </w:pBdr>
              <w:spacing w:after="0" w:line="276" w:lineRule="auto"/>
              <w:rPr>
                <w:sz w:val="22"/>
                <w:szCs w:val="22"/>
              </w:rPr>
            </w:pPr>
          </w:p>
        </w:tc>
        <w:tc>
          <w:tcPr>
            <w:tcW w:w="6063" w:type="dxa"/>
            <w:gridSpan w:val="2"/>
            <w:shd w:val="clear" w:color="auto" w:fill="D0E0E3"/>
          </w:tcPr>
          <w:p w14:paraId="412F1F91" w14:textId="77777777" w:rsidR="00D83718" w:rsidRDefault="00D83718" w:rsidP="006A1DE2">
            <w:r>
              <w:t>To complement the standards, suggested indicators of good practice and corresponding school context examples are further explored as part of professional development for the PST. Suggested indicators of good practice and corresponding school context examples are identified below. Examples are neither exhaustive, nor prescriptive.</w:t>
            </w:r>
          </w:p>
        </w:tc>
        <w:tc>
          <w:tcPr>
            <w:tcW w:w="6631" w:type="dxa"/>
            <w:gridSpan w:val="2"/>
            <w:shd w:val="clear" w:color="auto" w:fill="FFE599" w:themeFill="accent4" w:themeFillTint="66"/>
          </w:tcPr>
          <w:p w14:paraId="47DAD02C" w14:textId="77777777" w:rsidR="00D83718" w:rsidRDefault="00D83718" w:rsidP="006A1DE2">
            <w:pPr>
              <w:spacing w:after="0"/>
              <w:rPr>
                <w:b/>
                <w:u w:val="single"/>
              </w:rPr>
            </w:pPr>
            <w:r>
              <w:t>The three standards are central to all discussions between the NQT and PST about emerging needs and induction activities.</w:t>
            </w:r>
          </w:p>
          <w:p w14:paraId="3071014D" w14:textId="77777777" w:rsidR="00D83718" w:rsidRDefault="00D83718" w:rsidP="006A1DE2">
            <w:pPr>
              <w:spacing w:after="0"/>
            </w:pPr>
          </w:p>
        </w:tc>
      </w:tr>
    </w:tbl>
    <w:p w14:paraId="14047177" w14:textId="1EC9143D" w:rsidR="006A1DE2" w:rsidRDefault="006A1DE2"/>
    <w:tbl>
      <w:tblPr>
        <w:tblW w:w="1601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3"/>
        <w:gridCol w:w="3546"/>
        <w:gridCol w:w="3109"/>
        <w:gridCol w:w="3110"/>
        <w:gridCol w:w="3110"/>
      </w:tblGrid>
      <w:tr w:rsidR="006A1DE2" w14:paraId="33791AEB" w14:textId="77777777" w:rsidTr="59EBABAF">
        <w:trPr>
          <w:trHeight w:val="529"/>
          <w:tblHeader/>
        </w:trPr>
        <w:tc>
          <w:tcPr>
            <w:tcW w:w="3143" w:type="dxa"/>
            <w:shd w:val="clear" w:color="auto" w:fill="1987A8"/>
            <w:vAlign w:val="center"/>
          </w:tcPr>
          <w:p w14:paraId="5F2BFA33" w14:textId="7DEA829C" w:rsidR="006A1DE2" w:rsidRPr="006A1DE2" w:rsidRDefault="006A1DE2" w:rsidP="006A1DE2">
            <w:pPr>
              <w:spacing w:after="0"/>
              <w:jc w:val="center"/>
              <w:rPr>
                <w:b/>
                <w:color w:val="FFFFFF"/>
              </w:rPr>
            </w:pPr>
            <w:r w:rsidRPr="006A1DE2">
              <w:rPr>
                <w:b/>
                <w:color w:val="FFFFFF"/>
              </w:rPr>
              <w:lastRenderedPageBreak/>
              <w:t>Standards</w:t>
            </w:r>
          </w:p>
        </w:tc>
        <w:tc>
          <w:tcPr>
            <w:tcW w:w="3546" w:type="dxa"/>
            <w:shd w:val="clear" w:color="auto" w:fill="1987A8"/>
            <w:vAlign w:val="center"/>
          </w:tcPr>
          <w:p w14:paraId="352A50AB" w14:textId="148E25C7" w:rsidR="006A1DE2" w:rsidRPr="006A1DE2" w:rsidRDefault="006A1DE2" w:rsidP="006A1DE2">
            <w:pPr>
              <w:spacing w:after="0"/>
              <w:jc w:val="center"/>
              <w:rPr>
                <w:b/>
                <w:color w:val="FFFFFF"/>
              </w:rPr>
            </w:pPr>
            <w:r w:rsidRPr="006A1DE2">
              <w:rPr>
                <w:b/>
                <w:color w:val="FFFFFF"/>
              </w:rPr>
              <w:t>Indicators of Good Practice</w:t>
            </w:r>
          </w:p>
        </w:tc>
        <w:tc>
          <w:tcPr>
            <w:tcW w:w="3109" w:type="dxa"/>
            <w:shd w:val="clear" w:color="auto" w:fill="1987A8"/>
            <w:vAlign w:val="center"/>
          </w:tcPr>
          <w:p w14:paraId="3365774E" w14:textId="2419B544" w:rsidR="006A1DE2" w:rsidRPr="006A1DE2" w:rsidRDefault="006A1DE2" w:rsidP="006A1DE2">
            <w:pPr>
              <w:spacing w:after="0"/>
              <w:jc w:val="center"/>
              <w:rPr>
                <w:b/>
                <w:color w:val="FFFFFF"/>
              </w:rPr>
            </w:pPr>
            <w:r w:rsidRPr="006A1DE2">
              <w:rPr>
                <w:b/>
                <w:color w:val="FFFFFF"/>
              </w:rPr>
              <w:t>School Context Examples</w:t>
            </w:r>
          </w:p>
        </w:tc>
        <w:tc>
          <w:tcPr>
            <w:tcW w:w="3110" w:type="dxa"/>
            <w:shd w:val="clear" w:color="auto" w:fill="1987A8"/>
            <w:vAlign w:val="center"/>
          </w:tcPr>
          <w:p w14:paraId="569EB43D" w14:textId="65EE2DEA" w:rsidR="006A1DE2" w:rsidRPr="006A1DE2" w:rsidRDefault="006A1DE2" w:rsidP="006A1DE2">
            <w:pPr>
              <w:spacing w:after="0"/>
              <w:jc w:val="center"/>
              <w:rPr>
                <w:color w:val="FFFFFF"/>
              </w:rPr>
            </w:pPr>
            <w:r w:rsidRPr="006A1DE2">
              <w:rPr>
                <w:b/>
                <w:color w:val="FFFFFF"/>
              </w:rPr>
              <w:t>Emerging Needs</w:t>
            </w:r>
          </w:p>
        </w:tc>
        <w:tc>
          <w:tcPr>
            <w:tcW w:w="3110" w:type="dxa"/>
            <w:shd w:val="clear" w:color="auto" w:fill="1987A8"/>
            <w:vAlign w:val="center"/>
          </w:tcPr>
          <w:p w14:paraId="21757E40" w14:textId="2279A5D4" w:rsidR="006A1DE2" w:rsidRPr="006A1DE2" w:rsidRDefault="006A1DE2" w:rsidP="006A1DE2">
            <w:pPr>
              <w:spacing w:after="0"/>
              <w:jc w:val="center"/>
              <w:rPr>
                <w:color w:val="FFFFFF"/>
              </w:rPr>
            </w:pPr>
            <w:r w:rsidRPr="006A1DE2">
              <w:rPr>
                <w:b/>
                <w:color w:val="FFFFFF"/>
              </w:rPr>
              <w:t>Induction Activities</w:t>
            </w:r>
          </w:p>
        </w:tc>
      </w:tr>
      <w:tr w:rsidR="00D83718" w14:paraId="2ED37326" w14:textId="77777777" w:rsidTr="59EBABAF">
        <w:trPr>
          <w:trHeight w:val="1227"/>
          <w:tblHeader/>
        </w:trPr>
        <w:tc>
          <w:tcPr>
            <w:tcW w:w="3143" w:type="dxa"/>
            <w:shd w:val="clear" w:color="auto" w:fill="44A0BB"/>
          </w:tcPr>
          <w:p w14:paraId="253DEAB1" w14:textId="77777777" w:rsidR="00D83718" w:rsidRPr="002B05E9" w:rsidRDefault="00D83718" w:rsidP="00E210F7">
            <w:pPr>
              <w:rPr>
                <w:color w:val="FFFFFF"/>
              </w:rPr>
            </w:pPr>
            <w:r w:rsidRPr="002B05E9">
              <w:rPr>
                <w:color w:val="FFFFFF"/>
              </w:rPr>
              <w:t>Through their engagement in the Droichead process, the NQT will:</w:t>
            </w:r>
          </w:p>
        </w:tc>
        <w:tc>
          <w:tcPr>
            <w:tcW w:w="3546" w:type="dxa"/>
            <w:shd w:val="clear" w:color="auto" w:fill="44A0BB"/>
          </w:tcPr>
          <w:p w14:paraId="580207A4" w14:textId="77777777" w:rsidR="00D83718" w:rsidRPr="002B05E9" w:rsidRDefault="00D83718" w:rsidP="00E210F7">
            <w:pPr>
              <w:rPr>
                <w:color w:val="FFFFFF"/>
              </w:rPr>
            </w:pPr>
            <w:r w:rsidRPr="002B05E9">
              <w:rPr>
                <w:color w:val="FFFFFF"/>
              </w:rPr>
              <w:t>The NQT:</w:t>
            </w:r>
          </w:p>
        </w:tc>
        <w:tc>
          <w:tcPr>
            <w:tcW w:w="3109" w:type="dxa"/>
            <w:shd w:val="clear" w:color="auto" w:fill="44A0BB"/>
          </w:tcPr>
          <w:p w14:paraId="57A8D26A" w14:textId="77777777" w:rsidR="00D83718" w:rsidRPr="002B05E9" w:rsidRDefault="00D83718" w:rsidP="00A001B1">
            <w:pPr>
              <w:spacing w:after="0"/>
              <w:rPr>
                <w:color w:val="FFFFFF"/>
              </w:rPr>
            </w:pPr>
            <w:r w:rsidRPr="002B05E9">
              <w:rPr>
                <w:color w:val="FFFFFF"/>
              </w:rPr>
              <w:t>School specific initiatives, procedures, policies or practices. Include a link to your Plean Scoile if available.</w:t>
            </w:r>
          </w:p>
        </w:tc>
        <w:tc>
          <w:tcPr>
            <w:tcW w:w="3110" w:type="dxa"/>
            <w:shd w:val="clear" w:color="auto" w:fill="44A0BB"/>
          </w:tcPr>
          <w:p w14:paraId="5C59FDE4" w14:textId="77777777" w:rsidR="00D83718" w:rsidRPr="002B05E9" w:rsidRDefault="00D83718" w:rsidP="00E210F7">
            <w:pPr>
              <w:rPr>
                <w:color w:val="FFFFFF"/>
              </w:rPr>
            </w:pPr>
            <w:r w:rsidRPr="002B05E9">
              <w:rPr>
                <w:color w:val="FFFFFF"/>
              </w:rPr>
              <w:t>The NQT identifies emerging needs in consultation with PST members.</w:t>
            </w:r>
          </w:p>
        </w:tc>
        <w:tc>
          <w:tcPr>
            <w:tcW w:w="3110" w:type="dxa"/>
            <w:shd w:val="clear" w:color="auto" w:fill="44A0BB"/>
          </w:tcPr>
          <w:p w14:paraId="2E5FDDF9" w14:textId="77777777" w:rsidR="00D83718" w:rsidRPr="002B05E9" w:rsidRDefault="00D83718" w:rsidP="00E210F7">
            <w:pPr>
              <w:rPr>
                <w:color w:val="FFFFFF"/>
              </w:rPr>
            </w:pPr>
            <w:r w:rsidRPr="002B05E9">
              <w:rPr>
                <w:color w:val="FFFFFF"/>
              </w:rPr>
              <w:t>NQT &amp; PST identify activities in response to emerging needs.</w:t>
            </w:r>
          </w:p>
        </w:tc>
      </w:tr>
      <w:tr w:rsidR="00D83718" w:rsidRPr="002B05E9" w14:paraId="2659ABD2" w14:textId="77777777" w:rsidTr="59EBABAF">
        <w:trPr>
          <w:trHeight w:val="874"/>
        </w:trPr>
        <w:tc>
          <w:tcPr>
            <w:tcW w:w="3143" w:type="dxa"/>
            <w:vMerge w:val="restart"/>
            <w:shd w:val="clear" w:color="auto" w:fill="B6D7A8"/>
          </w:tcPr>
          <w:p w14:paraId="00F53C8B" w14:textId="77777777" w:rsidR="00D83718" w:rsidRPr="002B05E9" w:rsidRDefault="00D83718" w:rsidP="00E210F7">
            <w:pPr>
              <w:rPr>
                <w:b/>
              </w:rPr>
            </w:pPr>
            <w:r w:rsidRPr="002B05E9">
              <w:rPr>
                <w:b/>
              </w:rPr>
              <w:t>Standard 1:</w:t>
            </w:r>
          </w:p>
          <w:p w14:paraId="5B205BC3" w14:textId="77777777" w:rsidR="00D83718" w:rsidRPr="002B05E9" w:rsidRDefault="00D83718" w:rsidP="00E210F7">
            <w:r w:rsidRPr="002B05E9">
              <w:t>have engaged professionally with school-based induction and additional professional learning activities</w:t>
            </w:r>
          </w:p>
        </w:tc>
        <w:tc>
          <w:tcPr>
            <w:tcW w:w="3546" w:type="dxa"/>
            <w:shd w:val="clear" w:color="auto" w:fill="D0E0E3"/>
          </w:tcPr>
          <w:p w14:paraId="036D3BAF" w14:textId="77777777" w:rsidR="00D83718" w:rsidRPr="002B05E9" w:rsidRDefault="00D83718" w:rsidP="00E210F7">
            <w:r w:rsidRPr="002B05E9">
              <w:t>(a)  participated constructively in a broad range of professional experiences</w:t>
            </w:r>
          </w:p>
        </w:tc>
        <w:tc>
          <w:tcPr>
            <w:tcW w:w="3109" w:type="dxa"/>
            <w:shd w:val="clear" w:color="auto" w:fill="D0E0E3"/>
          </w:tcPr>
          <w:p w14:paraId="10976079" w14:textId="77777777" w:rsidR="00D83718" w:rsidRPr="002B05E9" w:rsidRDefault="00D83718" w:rsidP="00E210F7"/>
        </w:tc>
        <w:tc>
          <w:tcPr>
            <w:tcW w:w="3110" w:type="dxa"/>
            <w:shd w:val="clear" w:color="auto" w:fill="FFE599" w:themeFill="accent4" w:themeFillTint="66"/>
          </w:tcPr>
          <w:p w14:paraId="1A5CC8C4" w14:textId="77777777" w:rsidR="00D83718" w:rsidRPr="002B05E9" w:rsidRDefault="00D83718" w:rsidP="00E210F7"/>
        </w:tc>
        <w:tc>
          <w:tcPr>
            <w:tcW w:w="3110" w:type="dxa"/>
            <w:shd w:val="clear" w:color="auto" w:fill="FFE599" w:themeFill="accent4" w:themeFillTint="66"/>
          </w:tcPr>
          <w:p w14:paraId="748ED3A1" w14:textId="77777777" w:rsidR="00D83718" w:rsidRPr="002B05E9" w:rsidRDefault="00D83718" w:rsidP="00E210F7"/>
        </w:tc>
      </w:tr>
      <w:tr w:rsidR="00D83718" w:rsidRPr="002B05E9" w14:paraId="0451CBE0" w14:textId="77777777" w:rsidTr="59EBABAF">
        <w:tc>
          <w:tcPr>
            <w:tcW w:w="3143" w:type="dxa"/>
            <w:vMerge/>
          </w:tcPr>
          <w:p w14:paraId="59215328"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6E800463" w14:textId="77777777" w:rsidR="00D83718" w:rsidRPr="002B05E9" w:rsidRDefault="00D83718" w:rsidP="00E210F7">
            <w:r w:rsidRPr="002B05E9">
              <w:t xml:space="preserve">(b) worked well as part of a team and contributed to the professional conversations with the PST </w:t>
            </w:r>
          </w:p>
        </w:tc>
        <w:tc>
          <w:tcPr>
            <w:tcW w:w="3109" w:type="dxa"/>
            <w:shd w:val="clear" w:color="auto" w:fill="D0E0E3"/>
          </w:tcPr>
          <w:p w14:paraId="40354885" w14:textId="77777777" w:rsidR="00D83718" w:rsidRPr="002B05E9" w:rsidRDefault="00D83718" w:rsidP="00E210F7"/>
        </w:tc>
        <w:tc>
          <w:tcPr>
            <w:tcW w:w="3110" w:type="dxa"/>
            <w:shd w:val="clear" w:color="auto" w:fill="FFE599" w:themeFill="accent4" w:themeFillTint="66"/>
          </w:tcPr>
          <w:p w14:paraId="572BE836" w14:textId="77777777" w:rsidR="00D83718" w:rsidRPr="002B05E9" w:rsidRDefault="00D83718" w:rsidP="00E210F7"/>
        </w:tc>
        <w:tc>
          <w:tcPr>
            <w:tcW w:w="3110" w:type="dxa"/>
            <w:shd w:val="clear" w:color="auto" w:fill="FFE599" w:themeFill="accent4" w:themeFillTint="66"/>
          </w:tcPr>
          <w:p w14:paraId="4A784DE9" w14:textId="77777777" w:rsidR="00D83718" w:rsidRPr="002B05E9" w:rsidRDefault="00D83718" w:rsidP="00E210F7"/>
        </w:tc>
      </w:tr>
      <w:tr w:rsidR="00D83718" w:rsidRPr="002B05E9" w14:paraId="12BF6704" w14:textId="77777777" w:rsidTr="59EBABAF">
        <w:tc>
          <w:tcPr>
            <w:tcW w:w="3143" w:type="dxa"/>
            <w:vMerge/>
          </w:tcPr>
          <w:p w14:paraId="5106F6E3"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133A4A3E" w14:textId="77777777" w:rsidR="00D83718" w:rsidRPr="002B05E9" w:rsidRDefault="00D83718" w:rsidP="00E210F7">
            <w:r w:rsidRPr="002B05E9">
              <w:t xml:space="preserve">(c) engaged fully in the life of the school commensurate with their stage on the continuum of teacher education </w:t>
            </w:r>
          </w:p>
        </w:tc>
        <w:tc>
          <w:tcPr>
            <w:tcW w:w="3109" w:type="dxa"/>
            <w:shd w:val="clear" w:color="auto" w:fill="D0E0E3"/>
          </w:tcPr>
          <w:p w14:paraId="3E3EF5F4" w14:textId="77777777" w:rsidR="00D83718" w:rsidRPr="002B05E9" w:rsidRDefault="00D83718" w:rsidP="00E210F7"/>
        </w:tc>
        <w:tc>
          <w:tcPr>
            <w:tcW w:w="3110" w:type="dxa"/>
            <w:shd w:val="clear" w:color="auto" w:fill="FFE599" w:themeFill="accent4" w:themeFillTint="66"/>
          </w:tcPr>
          <w:p w14:paraId="106E6BC8" w14:textId="77777777" w:rsidR="00D83718" w:rsidRPr="002B05E9" w:rsidRDefault="00D83718" w:rsidP="00E210F7"/>
        </w:tc>
        <w:tc>
          <w:tcPr>
            <w:tcW w:w="3110" w:type="dxa"/>
            <w:shd w:val="clear" w:color="auto" w:fill="FFE599" w:themeFill="accent4" w:themeFillTint="66"/>
          </w:tcPr>
          <w:p w14:paraId="77299ED6" w14:textId="77777777" w:rsidR="00D83718" w:rsidRPr="002B05E9" w:rsidRDefault="00D83718" w:rsidP="00E210F7"/>
        </w:tc>
      </w:tr>
      <w:tr w:rsidR="00D83718" w:rsidRPr="002B05E9" w14:paraId="5AC915E1" w14:textId="77777777" w:rsidTr="59EBABAF">
        <w:tc>
          <w:tcPr>
            <w:tcW w:w="3143" w:type="dxa"/>
            <w:vMerge/>
          </w:tcPr>
          <w:p w14:paraId="53DFADE3"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471EC876" w14:textId="77777777" w:rsidR="00D83718" w:rsidRPr="002B05E9" w:rsidRDefault="00D83718" w:rsidP="00E210F7">
            <w:r w:rsidRPr="002B05E9">
              <w:t>(d) sought and availed of opportunities to observe and work alongside other teachers, sought and availed of support from the PST and from other experienced teachers, engaged in constructive discussions through professional conversations and quarterly reviews, with the PST</w:t>
            </w:r>
          </w:p>
        </w:tc>
        <w:tc>
          <w:tcPr>
            <w:tcW w:w="3109" w:type="dxa"/>
            <w:shd w:val="clear" w:color="auto" w:fill="D0E0E3"/>
          </w:tcPr>
          <w:p w14:paraId="02FD3F65" w14:textId="77777777" w:rsidR="00D83718" w:rsidRPr="002B05E9" w:rsidRDefault="00D83718" w:rsidP="00E210F7"/>
        </w:tc>
        <w:tc>
          <w:tcPr>
            <w:tcW w:w="3110" w:type="dxa"/>
            <w:shd w:val="clear" w:color="auto" w:fill="FFE599" w:themeFill="accent4" w:themeFillTint="66"/>
          </w:tcPr>
          <w:p w14:paraId="4875C814" w14:textId="77777777" w:rsidR="00D83718" w:rsidRPr="002B05E9" w:rsidRDefault="00D83718" w:rsidP="00E210F7"/>
        </w:tc>
        <w:tc>
          <w:tcPr>
            <w:tcW w:w="3110" w:type="dxa"/>
            <w:shd w:val="clear" w:color="auto" w:fill="FFE599" w:themeFill="accent4" w:themeFillTint="66"/>
          </w:tcPr>
          <w:p w14:paraId="69897E8F" w14:textId="77777777" w:rsidR="00D83718" w:rsidRPr="002B05E9" w:rsidRDefault="00D83718" w:rsidP="00E210F7">
            <w:pPr>
              <w:spacing w:after="0"/>
            </w:pPr>
          </w:p>
        </w:tc>
      </w:tr>
      <w:tr w:rsidR="00D83718" w:rsidRPr="002B05E9" w14:paraId="47F04FE9" w14:textId="77777777" w:rsidTr="59EBABAF">
        <w:tc>
          <w:tcPr>
            <w:tcW w:w="3143" w:type="dxa"/>
            <w:vMerge w:val="restart"/>
            <w:shd w:val="clear" w:color="auto" w:fill="B6D7A8"/>
          </w:tcPr>
          <w:p w14:paraId="6F594216" w14:textId="77777777" w:rsidR="00D83718" w:rsidRPr="002B05E9" w:rsidRDefault="00D83718" w:rsidP="00E210F7">
            <w:pPr>
              <w:rPr>
                <w:b/>
              </w:rPr>
            </w:pPr>
            <w:r w:rsidRPr="002B05E9">
              <w:rPr>
                <w:b/>
              </w:rPr>
              <w:t xml:space="preserve">Standard 2: </w:t>
            </w:r>
          </w:p>
          <w:p w14:paraId="4E492EAB" w14:textId="77777777" w:rsidR="00D83718" w:rsidRPr="002B05E9" w:rsidRDefault="00D83718" w:rsidP="00E210F7">
            <w:r w:rsidRPr="002B05E9">
              <w:lastRenderedPageBreak/>
              <w:t>have shown their professional commitment to quality teaching and learning for their pupils/students</w:t>
            </w:r>
          </w:p>
        </w:tc>
        <w:tc>
          <w:tcPr>
            <w:tcW w:w="3546" w:type="dxa"/>
            <w:shd w:val="clear" w:color="auto" w:fill="D0E0E3"/>
          </w:tcPr>
          <w:p w14:paraId="68902684" w14:textId="1374C6DA" w:rsidR="00D83718" w:rsidRPr="002B05E9" w:rsidRDefault="00D83718" w:rsidP="00E210F7">
            <w:r w:rsidRPr="002B05E9">
              <w:lastRenderedPageBreak/>
              <w:t xml:space="preserve">(a) engaged in long-term and short-term weekly preparation </w:t>
            </w:r>
            <w:r w:rsidRPr="002B05E9">
              <w:lastRenderedPageBreak/>
              <w:t>for teaching and learning (visible, invisible &amp; recorded) and practised in line with school policies (in particular homework, assessment and other relevant teaching and learning policies) and t</w:t>
            </w:r>
            <w:r w:rsidR="008F4675">
              <w:t xml:space="preserve">he relevant national curriculum, </w:t>
            </w:r>
            <w:r w:rsidR="00A001B1">
              <w:t>syllabus or specification</w:t>
            </w:r>
          </w:p>
        </w:tc>
        <w:tc>
          <w:tcPr>
            <w:tcW w:w="3109" w:type="dxa"/>
            <w:shd w:val="clear" w:color="auto" w:fill="D0E0E3"/>
          </w:tcPr>
          <w:p w14:paraId="7D229255" w14:textId="77777777" w:rsidR="00D83718" w:rsidRPr="002B05E9" w:rsidRDefault="00D83718" w:rsidP="00E210F7"/>
        </w:tc>
        <w:tc>
          <w:tcPr>
            <w:tcW w:w="3110" w:type="dxa"/>
            <w:shd w:val="clear" w:color="auto" w:fill="FFE599" w:themeFill="accent4" w:themeFillTint="66"/>
          </w:tcPr>
          <w:p w14:paraId="3254B4CD" w14:textId="77777777" w:rsidR="00D83718" w:rsidRPr="002B05E9" w:rsidRDefault="00D83718" w:rsidP="00E210F7"/>
        </w:tc>
        <w:tc>
          <w:tcPr>
            <w:tcW w:w="3110" w:type="dxa"/>
            <w:shd w:val="clear" w:color="auto" w:fill="FFE599" w:themeFill="accent4" w:themeFillTint="66"/>
          </w:tcPr>
          <w:p w14:paraId="76A8E1EE" w14:textId="77777777" w:rsidR="00D83718" w:rsidRPr="002B05E9" w:rsidRDefault="00D83718" w:rsidP="00E210F7"/>
        </w:tc>
      </w:tr>
      <w:tr w:rsidR="00D83718" w:rsidRPr="002B05E9" w14:paraId="06B2D43E" w14:textId="77777777" w:rsidTr="59EBABAF">
        <w:tc>
          <w:tcPr>
            <w:tcW w:w="3143" w:type="dxa"/>
            <w:vMerge/>
          </w:tcPr>
          <w:p w14:paraId="69367F93"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3F07956D" w14:textId="1C343FF9" w:rsidR="00D83718" w:rsidRPr="002B05E9" w:rsidRDefault="00D83718" w:rsidP="00E210F7">
            <w:r>
              <w:t xml:space="preserve">(b) used a range of appropriate teaching methodologies, resources and assessment techniques commensurate with their stage of development, as outlined in the “Overview Methodologies” page in the Toolkit for Planning on </w:t>
            </w:r>
            <w:r w:rsidR="7F0F4E4C">
              <w:t>our website</w:t>
            </w:r>
          </w:p>
        </w:tc>
        <w:tc>
          <w:tcPr>
            <w:tcW w:w="3109" w:type="dxa"/>
            <w:shd w:val="clear" w:color="auto" w:fill="D0E0E3"/>
          </w:tcPr>
          <w:p w14:paraId="20FC46FF" w14:textId="77777777" w:rsidR="00D83718" w:rsidRPr="002B05E9" w:rsidRDefault="00D83718" w:rsidP="00E210F7"/>
        </w:tc>
        <w:tc>
          <w:tcPr>
            <w:tcW w:w="3110" w:type="dxa"/>
            <w:shd w:val="clear" w:color="auto" w:fill="FFE599" w:themeFill="accent4" w:themeFillTint="66"/>
          </w:tcPr>
          <w:p w14:paraId="093C7AA8" w14:textId="77777777" w:rsidR="00D83718" w:rsidRPr="002B05E9" w:rsidRDefault="00D83718" w:rsidP="00E210F7"/>
        </w:tc>
        <w:tc>
          <w:tcPr>
            <w:tcW w:w="3110" w:type="dxa"/>
            <w:shd w:val="clear" w:color="auto" w:fill="FFE599" w:themeFill="accent4" w:themeFillTint="66"/>
          </w:tcPr>
          <w:p w14:paraId="703A4696" w14:textId="77777777" w:rsidR="00D83718" w:rsidRPr="002B05E9" w:rsidRDefault="00D83718" w:rsidP="00E210F7"/>
        </w:tc>
      </w:tr>
      <w:tr w:rsidR="00D83718" w:rsidRPr="002B05E9" w14:paraId="61DE4A4F" w14:textId="77777777" w:rsidTr="59EBABAF">
        <w:tc>
          <w:tcPr>
            <w:tcW w:w="3143" w:type="dxa"/>
            <w:vMerge w:val="restart"/>
            <w:shd w:val="clear" w:color="auto" w:fill="B6D7A8"/>
          </w:tcPr>
          <w:p w14:paraId="158509CB" w14:textId="77777777" w:rsidR="00D83718" w:rsidRPr="002B05E9" w:rsidRDefault="00D83718" w:rsidP="00E210F7">
            <w:pPr>
              <w:rPr>
                <w:b/>
              </w:rPr>
            </w:pPr>
            <w:r w:rsidRPr="002B05E9">
              <w:rPr>
                <w:b/>
              </w:rPr>
              <w:t xml:space="preserve">Standard 2 (continued): </w:t>
            </w:r>
          </w:p>
          <w:p w14:paraId="2BD57E39" w14:textId="77777777" w:rsidR="00D83718" w:rsidRPr="002B05E9" w:rsidRDefault="00D83718" w:rsidP="00E210F7">
            <w:r w:rsidRPr="002B05E9">
              <w:t xml:space="preserve">have shown their professional commitment to quality teaching and </w:t>
            </w:r>
            <w:r w:rsidRPr="002B05E9">
              <w:lastRenderedPageBreak/>
              <w:t>learning for their pupils/ students</w:t>
            </w:r>
          </w:p>
        </w:tc>
        <w:tc>
          <w:tcPr>
            <w:tcW w:w="3546" w:type="dxa"/>
            <w:shd w:val="clear" w:color="auto" w:fill="D0E0E3"/>
          </w:tcPr>
          <w:p w14:paraId="38582381" w14:textId="77777777" w:rsidR="00D83718" w:rsidRPr="002B05E9" w:rsidRDefault="00D83718" w:rsidP="00E210F7">
            <w:r w:rsidRPr="002B05E9">
              <w:lastRenderedPageBreak/>
              <w:t>(c) structured and paced lessons appropriately</w:t>
            </w:r>
          </w:p>
        </w:tc>
        <w:tc>
          <w:tcPr>
            <w:tcW w:w="3109" w:type="dxa"/>
            <w:shd w:val="clear" w:color="auto" w:fill="D0E0E3"/>
          </w:tcPr>
          <w:p w14:paraId="2856DAB1" w14:textId="77777777" w:rsidR="00D83718" w:rsidRPr="002B05E9" w:rsidRDefault="00D83718" w:rsidP="00E210F7"/>
        </w:tc>
        <w:tc>
          <w:tcPr>
            <w:tcW w:w="3110" w:type="dxa"/>
            <w:shd w:val="clear" w:color="auto" w:fill="FFE599" w:themeFill="accent4" w:themeFillTint="66"/>
          </w:tcPr>
          <w:p w14:paraId="27106F13" w14:textId="77777777" w:rsidR="00D83718" w:rsidRPr="002B05E9" w:rsidRDefault="00D83718" w:rsidP="00E210F7"/>
        </w:tc>
        <w:tc>
          <w:tcPr>
            <w:tcW w:w="3110" w:type="dxa"/>
            <w:shd w:val="clear" w:color="auto" w:fill="FFE599" w:themeFill="accent4" w:themeFillTint="66"/>
          </w:tcPr>
          <w:p w14:paraId="3C81FD46" w14:textId="77777777" w:rsidR="00D83718" w:rsidRPr="002B05E9" w:rsidRDefault="00D83718" w:rsidP="00E210F7"/>
        </w:tc>
      </w:tr>
      <w:tr w:rsidR="00D83718" w:rsidRPr="002B05E9" w14:paraId="1B74F3AF" w14:textId="77777777" w:rsidTr="59EBABAF">
        <w:trPr>
          <w:trHeight w:val="753"/>
        </w:trPr>
        <w:tc>
          <w:tcPr>
            <w:tcW w:w="3143" w:type="dxa"/>
            <w:vMerge/>
          </w:tcPr>
          <w:p w14:paraId="27D59769"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481E6166" w14:textId="77777777" w:rsidR="00D83718" w:rsidRPr="002B05E9" w:rsidRDefault="00D83718" w:rsidP="00E210F7">
            <w:r w:rsidRPr="002B05E9">
              <w:t xml:space="preserve">(d) provided for differences in pupil/student abilities, </w:t>
            </w:r>
            <w:r w:rsidRPr="002B05E9">
              <w:lastRenderedPageBreak/>
              <w:t>backgrounds and learning styles</w:t>
            </w:r>
          </w:p>
        </w:tc>
        <w:tc>
          <w:tcPr>
            <w:tcW w:w="3109" w:type="dxa"/>
            <w:shd w:val="clear" w:color="auto" w:fill="D0E0E3"/>
          </w:tcPr>
          <w:p w14:paraId="508B601E" w14:textId="77777777" w:rsidR="00D83718" w:rsidRPr="002B05E9" w:rsidRDefault="00D83718" w:rsidP="00E210F7"/>
        </w:tc>
        <w:tc>
          <w:tcPr>
            <w:tcW w:w="3110" w:type="dxa"/>
            <w:shd w:val="clear" w:color="auto" w:fill="FFE599" w:themeFill="accent4" w:themeFillTint="66"/>
          </w:tcPr>
          <w:p w14:paraId="0DF3457B" w14:textId="77777777" w:rsidR="00D83718" w:rsidRPr="002B05E9" w:rsidRDefault="00D83718" w:rsidP="00E210F7"/>
        </w:tc>
        <w:tc>
          <w:tcPr>
            <w:tcW w:w="3110" w:type="dxa"/>
            <w:shd w:val="clear" w:color="auto" w:fill="FFE599" w:themeFill="accent4" w:themeFillTint="66"/>
          </w:tcPr>
          <w:p w14:paraId="48BD2659" w14:textId="77777777" w:rsidR="00D83718" w:rsidRPr="002B05E9" w:rsidRDefault="00D83718" w:rsidP="00E210F7"/>
        </w:tc>
      </w:tr>
      <w:tr w:rsidR="00D83718" w:rsidRPr="002B05E9" w14:paraId="27D93F04" w14:textId="77777777" w:rsidTr="59EBABAF">
        <w:tc>
          <w:tcPr>
            <w:tcW w:w="3143" w:type="dxa"/>
            <w:vMerge/>
          </w:tcPr>
          <w:p w14:paraId="70B541C2"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74A8B0BA" w14:textId="133121A8" w:rsidR="00D83718" w:rsidRPr="002B05E9" w:rsidRDefault="00D83718" w:rsidP="00E210F7">
            <w:r w:rsidRPr="002B05E9">
              <w:t>(e)</w:t>
            </w:r>
            <w:r w:rsidR="008F4675">
              <w:t xml:space="preserve"> </w:t>
            </w:r>
            <w:r w:rsidRPr="002B05E9">
              <w:t>covered an appropriate range of material, using t</w:t>
            </w:r>
            <w:r w:rsidR="00EF65A1">
              <w:t xml:space="preserve">he relevant national curriculum, </w:t>
            </w:r>
            <w:r w:rsidRPr="002B05E9">
              <w:t>syllabus or specification, using school policies, plans and initiatives</w:t>
            </w:r>
          </w:p>
        </w:tc>
        <w:tc>
          <w:tcPr>
            <w:tcW w:w="3109" w:type="dxa"/>
            <w:shd w:val="clear" w:color="auto" w:fill="D0E0E3"/>
          </w:tcPr>
          <w:p w14:paraId="0690B627" w14:textId="77777777" w:rsidR="00D83718" w:rsidRPr="002B05E9" w:rsidRDefault="00D83718" w:rsidP="00E210F7"/>
        </w:tc>
        <w:tc>
          <w:tcPr>
            <w:tcW w:w="3110" w:type="dxa"/>
            <w:shd w:val="clear" w:color="auto" w:fill="FFE599" w:themeFill="accent4" w:themeFillTint="66"/>
          </w:tcPr>
          <w:p w14:paraId="78A89CE7" w14:textId="77777777" w:rsidR="00D83718" w:rsidRPr="002B05E9" w:rsidRDefault="00D83718" w:rsidP="00E210F7"/>
        </w:tc>
        <w:tc>
          <w:tcPr>
            <w:tcW w:w="3110" w:type="dxa"/>
            <w:shd w:val="clear" w:color="auto" w:fill="FFE599" w:themeFill="accent4" w:themeFillTint="66"/>
          </w:tcPr>
          <w:p w14:paraId="77984698" w14:textId="77777777" w:rsidR="00D83718" w:rsidRPr="002B05E9" w:rsidRDefault="00D83718" w:rsidP="00E210F7"/>
        </w:tc>
      </w:tr>
      <w:tr w:rsidR="00D83718" w:rsidRPr="002B05E9" w14:paraId="2F535679" w14:textId="77777777" w:rsidTr="59EBABAF">
        <w:tc>
          <w:tcPr>
            <w:tcW w:w="3143" w:type="dxa"/>
            <w:vMerge/>
          </w:tcPr>
          <w:p w14:paraId="5453316D"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169C0C8D" w14:textId="77777777" w:rsidR="00D83718" w:rsidRPr="002B05E9" w:rsidRDefault="00D83718" w:rsidP="00E210F7">
            <w:r w:rsidRPr="002B05E9">
              <w:t>(f) demonstrated good communication skills</w:t>
            </w:r>
          </w:p>
        </w:tc>
        <w:tc>
          <w:tcPr>
            <w:tcW w:w="3109" w:type="dxa"/>
            <w:shd w:val="clear" w:color="auto" w:fill="D0E0E3"/>
          </w:tcPr>
          <w:p w14:paraId="7B9A2A8D" w14:textId="77777777" w:rsidR="00D83718" w:rsidRPr="002B05E9" w:rsidRDefault="00D83718" w:rsidP="00E210F7"/>
        </w:tc>
        <w:tc>
          <w:tcPr>
            <w:tcW w:w="3110" w:type="dxa"/>
            <w:shd w:val="clear" w:color="auto" w:fill="FFE599" w:themeFill="accent4" w:themeFillTint="66"/>
          </w:tcPr>
          <w:p w14:paraId="645F5F4D" w14:textId="77777777" w:rsidR="00D83718" w:rsidRPr="002B05E9" w:rsidRDefault="00D83718" w:rsidP="00E210F7"/>
        </w:tc>
        <w:tc>
          <w:tcPr>
            <w:tcW w:w="3110" w:type="dxa"/>
            <w:shd w:val="clear" w:color="auto" w:fill="FFE599" w:themeFill="accent4" w:themeFillTint="66"/>
          </w:tcPr>
          <w:p w14:paraId="39D80562" w14:textId="77777777" w:rsidR="00D83718" w:rsidRPr="002B05E9" w:rsidRDefault="00D83718" w:rsidP="00E210F7"/>
        </w:tc>
      </w:tr>
      <w:tr w:rsidR="00D83718" w:rsidRPr="002B05E9" w14:paraId="1AD36A35" w14:textId="77777777" w:rsidTr="59EBABAF">
        <w:tc>
          <w:tcPr>
            <w:tcW w:w="3143" w:type="dxa"/>
            <w:vMerge/>
          </w:tcPr>
          <w:p w14:paraId="2B291994"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0C180566" w14:textId="34079123" w:rsidR="00D83718" w:rsidRPr="002B05E9" w:rsidRDefault="00D83718" w:rsidP="00E210F7">
            <w:r w:rsidRPr="002B05E9">
              <w:t>(g) demonstrated good classroom management skills, promoted good behaviour through appropriate management systems and in line with school Code of Behaviour</w:t>
            </w:r>
          </w:p>
        </w:tc>
        <w:tc>
          <w:tcPr>
            <w:tcW w:w="3109" w:type="dxa"/>
            <w:shd w:val="clear" w:color="auto" w:fill="D0E0E3"/>
          </w:tcPr>
          <w:p w14:paraId="1093D194" w14:textId="77777777" w:rsidR="00D83718" w:rsidRPr="002B05E9" w:rsidRDefault="00D83718" w:rsidP="00E210F7"/>
        </w:tc>
        <w:tc>
          <w:tcPr>
            <w:tcW w:w="3110" w:type="dxa"/>
            <w:shd w:val="clear" w:color="auto" w:fill="FFE599" w:themeFill="accent4" w:themeFillTint="66"/>
          </w:tcPr>
          <w:p w14:paraId="11DBE519" w14:textId="77777777" w:rsidR="00D83718" w:rsidRPr="002B05E9" w:rsidRDefault="00D83718" w:rsidP="00E210F7"/>
        </w:tc>
        <w:tc>
          <w:tcPr>
            <w:tcW w:w="3110" w:type="dxa"/>
            <w:shd w:val="clear" w:color="auto" w:fill="FFE599" w:themeFill="accent4" w:themeFillTint="66"/>
          </w:tcPr>
          <w:p w14:paraId="3BF0AAC0" w14:textId="77777777" w:rsidR="00D83718" w:rsidRPr="002B05E9" w:rsidRDefault="00D83718" w:rsidP="00E210F7"/>
        </w:tc>
      </w:tr>
      <w:tr w:rsidR="00D83718" w:rsidRPr="002B05E9" w14:paraId="5B8D517F" w14:textId="77777777" w:rsidTr="59EBABAF">
        <w:tc>
          <w:tcPr>
            <w:tcW w:w="3143" w:type="dxa"/>
            <w:vMerge/>
          </w:tcPr>
          <w:p w14:paraId="3B9E40A8"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412338DC" w14:textId="77777777" w:rsidR="00D83718" w:rsidRPr="002B05E9" w:rsidRDefault="00D83718" w:rsidP="00E210F7">
            <w:pPr>
              <w:spacing w:after="0"/>
            </w:pPr>
            <w:r w:rsidRPr="002B05E9">
              <w:t xml:space="preserve">(h) engaged with the full school community, including parents/guardians, in a respectful and courteous manner, having due regard for the values and standards set </w:t>
            </w:r>
            <w:r w:rsidRPr="002B05E9">
              <w:lastRenderedPageBreak/>
              <w:t>out in the Teaching Council’s Code of Professional Conduct for Teachers and for the school’s Code of Behaviour, Child Protection Policy and other relevant policies</w:t>
            </w:r>
          </w:p>
        </w:tc>
        <w:tc>
          <w:tcPr>
            <w:tcW w:w="3109" w:type="dxa"/>
            <w:shd w:val="clear" w:color="auto" w:fill="D0E0E3"/>
          </w:tcPr>
          <w:p w14:paraId="7F4922DD" w14:textId="77777777" w:rsidR="00D83718" w:rsidRPr="002B05E9" w:rsidRDefault="00D83718" w:rsidP="00E210F7"/>
        </w:tc>
        <w:tc>
          <w:tcPr>
            <w:tcW w:w="3110" w:type="dxa"/>
            <w:shd w:val="clear" w:color="auto" w:fill="FFE599" w:themeFill="accent4" w:themeFillTint="66"/>
          </w:tcPr>
          <w:p w14:paraId="33CB7B69" w14:textId="77777777" w:rsidR="00D83718" w:rsidRPr="002B05E9" w:rsidRDefault="00D83718" w:rsidP="00E210F7"/>
        </w:tc>
        <w:tc>
          <w:tcPr>
            <w:tcW w:w="3110" w:type="dxa"/>
            <w:shd w:val="clear" w:color="auto" w:fill="FFE599" w:themeFill="accent4" w:themeFillTint="66"/>
          </w:tcPr>
          <w:p w14:paraId="204A4031" w14:textId="77777777" w:rsidR="00D83718" w:rsidRPr="002B05E9" w:rsidRDefault="00D83718" w:rsidP="00E210F7"/>
        </w:tc>
      </w:tr>
      <w:tr w:rsidR="00D83718" w:rsidRPr="002B05E9" w14:paraId="6AD125B3" w14:textId="77777777" w:rsidTr="59EBABAF">
        <w:tc>
          <w:tcPr>
            <w:tcW w:w="3143" w:type="dxa"/>
            <w:vMerge w:val="restart"/>
            <w:shd w:val="clear" w:color="auto" w:fill="B6D7A8"/>
          </w:tcPr>
          <w:p w14:paraId="577C49BB" w14:textId="77777777" w:rsidR="00D83718" w:rsidRPr="002B05E9" w:rsidRDefault="00D83718" w:rsidP="00E210F7">
            <w:pPr>
              <w:rPr>
                <w:b/>
              </w:rPr>
            </w:pPr>
            <w:r w:rsidRPr="002B05E9">
              <w:rPr>
                <w:b/>
              </w:rPr>
              <w:t xml:space="preserve">Standard 2 (continued): </w:t>
            </w:r>
          </w:p>
          <w:p w14:paraId="5625678B" w14:textId="77777777" w:rsidR="00D83718" w:rsidRPr="002B05E9" w:rsidRDefault="00D83718" w:rsidP="00E210F7">
            <w:r w:rsidRPr="002B05E9">
              <w:t>have shown their professional commitment to quality teaching and learning for their pupils/students</w:t>
            </w:r>
          </w:p>
        </w:tc>
        <w:tc>
          <w:tcPr>
            <w:tcW w:w="3546" w:type="dxa"/>
            <w:shd w:val="clear" w:color="auto" w:fill="D0E0E3"/>
          </w:tcPr>
          <w:p w14:paraId="127E284B" w14:textId="13E57DCB" w:rsidR="00D83718" w:rsidRPr="002B05E9" w:rsidRDefault="00D83718" w:rsidP="00E210F7">
            <w:r w:rsidRPr="002B05E9">
              <w:t>(i) supported, guided and motivated pupils towards the achievement of quality learning outcomes, including written work, shared the learning outcomes with the pupil, gave pupils regular feedback, both orally and through accurate marking and encouraged pupils to respond to the feedback</w:t>
            </w:r>
          </w:p>
        </w:tc>
        <w:tc>
          <w:tcPr>
            <w:tcW w:w="3109" w:type="dxa"/>
            <w:shd w:val="clear" w:color="auto" w:fill="D0E0E3"/>
          </w:tcPr>
          <w:p w14:paraId="0CDC7B1F" w14:textId="77777777" w:rsidR="00D83718" w:rsidRPr="002B05E9" w:rsidRDefault="00D83718" w:rsidP="00E210F7"/>
        </w:tc>
        <w:tc>
          <w:tcPr>
            <w:tcW w:w="3110" w:type="dxa"/>
            <w:shd w:val="clear" w:color="auto" w:fill="FFE599" w:themeFill="accent4" w:themeFillTint="66"/>
          </w:tcPr>
          <w:p w14:paraId="016C1EBF" w14:textId="77777777" w:rsidR="00D83718" w:rsidRPr="002B05E9" w:rsidRDefault="00D83718" w:rsidP="00E210F7"/>
        </w:tc>
        <w:tc>
          <w:tcPr>
            <w:tcW w:w="3110" w:type="dxa"/>
            <w:shd w:val="clear" w:color="auto" w:fill="FFE599" w:themeFill="accent4" w:themeFillTint="66"/>
          </w:tcPr>
          <w:p w14:paraId="2BE427A1" w14:textId="77777777" w:rsidR="00D83718" w:rsidRPr="002B05E9" w:rsidRDefault="00D83718" w:rsidP="00E210F7"/>
        </w:tc>
      </w:tr>
      <w:tr w:rsidR="00D83718" w:rsidRPr="002B05E9" w14:paraId="3B2E5F9E" w14:textId="77777777" w:rsidTr="59EBABAF">
        <w:tc>
          <w:tcPr>
            <w:tcW w:w="3143" w:type="dxa"/>
            <w:vMerge/>
          </w:tcPr>
          <w:p w14:paraId="74A0440A"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435F2D8B" w14:textId="70F0322E" w:rsidR="00D83718" w:rsidRPr="002B05E9" w:rsidRDefault="00D83718" w:rsidP="00E210F7">
            <w:r w:rsidRPr="002B05E9">
              <w:t>(j) demonstrated an ability to exercise professional judgement in dealing with a range of issues and situations, inclu</w:t>
            </w:r>
            <w:r w:rsidR="00744179">
              <w:t xml:space="preserve">ding the completion of accident and incident reports, </w:t>
            </w:r>
            <w:r w:rsidRPr="002B05E9">
              <w:lastRenderedPageBreak/>
              <w:t>Child Protection Disclosures where necessary</w:t>
            </w:r>
          </w:p>
        </w:tc>
        <w:tc>
          <w:tcPr>
            <w:tcW w:w="3109" w:type="dxa"/>
            <w:shd w:val="clear" w:color="auto" w:fill="D0E0E3"/>
          </w:tcPr>
          <w:p w14:paraId="3562F55A" w14:textId="77777777" w:rsidR="00D83718" w:rsidRPr="002B05E9" w:rsidRDefault="00D83718" w:rsidP="00E210F7"/>
        </w:tc>
        <w:tc>
          <w:tcPr>
            <w:tcW w:w="3110" w:type="dxa"/>
            <w:shd w:val="clear" w:color="auto" w:fill="FFE599" w:themeFill="accent4" w:themeFillTint="66"/>
          </w:tcPr>
          <w:p w14:paraId="306B5EF4" w14:textId="77777777" w:rsidR="00D83718" w:rsidRPr="002B05E9" w:rsidRDefault="00D83718" w:rsidP="00E210F7"/>
        </w:tc>
        <w:tc>
          <w:tcPr>
            <w:tcW w:w="3110" w:type="dxa"/>
            <w:shd w:val="clear" w:color="auto" w:fill="FFE599" w:themeFill="accent4" w:themeFillTint="66"/>
          </w:tcPr>
          <w:p w14:paraId="222687A4" w14:textId="77777777" w:rsidR="00D83718" w:rsidRPr="002B05E9" w:rsidRDefault="00D83718" w:rsidP="00E210F7"/>
        </w:tc>
      </w:tr>
      <w:tr w:rsidR="00D83718" w:rsidRPr="002B05E9" w14:paraId="67B27C93" w14:textId="77777777" w:rsidTr="59EBABAF">
        <w:tc>
          <w:tcPr>
            <w:tcW w:w="3143" w:type="dxa"/>
            <w:vMerge w:val="restart"/>
            <w:shd w:val="clear" w:color="auto" w:fill="B6D7A8"/>
          </w:tcPr>
          <w:p w14:paraId="7D16FD59" w14:textId="77777777" w:rsidR="00D83718" w:rsidRPr="002B05E9" w:rsidRDefault="00D83718" w:rsidP="00E210F7">
            <w:pPr>
              <w:rPr>
                <w:b/>
              </w:rPr>
            </w:pPr>
            <w:r w:rsidRPr="002B05E9">
              <w:rPr>
                <w:b/>
              </w:rPr>
              <w:t>Standard 3:</w:t>
            </w:r>
          </w:p>
          <w:p w14:paraId="76022E13" w14:textId="21BC58CE" w:rsidR="00D83718" w:rsidRPr="002B05E9" w:rsidRDefault="00D83718" w:rsidP="00E210F7">
            <w:r>
              <w:t>have engaged in reflective practice that supports their professional learning and practice, both individually and collaboratively</w:t>
            </w:r>
          </w:p>
        </w:tc>
        <w:tc>
          <w:tcPr>
            <w:tcW w:w="3546" w:type="dxa"/>
            <w:shd w:val="clear" w:color="auto" w:fill="D0E0E3"/>
          </w:tcPr>
          <w:p w14:paraId="4CAE7AB9" w14:textId="14B3FDC4" w:rsidR="00D83718" w:rsidRPr="002B05E9" w:rsidRDefault="00D83718" w:rsidP="00744179">
            <w:r w:rsidRPr="002B05E9">
              <w:t xml:space="preserve">(a) took a proactive approach to </w:t>
            </w:r>
            <w:r w:rsidR="00744179">
              <w:t>their</w:t>
            </w:r>
            <w:r w:rsidRPr="002B05E9">
              <w:t xml:space="preserve"> own learning and to reflection on </w:t>
            </w:r>
            <w:r w:rsidR="00744179">
              <w:t>their</w:t>
            </w:r>
            <w:r w:rsidR="00A001B1">
              <w:t xml:space="preserve"> practice</w:t>
            </w:r>
          </w:p>
        </w:tc>
        <w:tc>
          <w:tcPr>
            <w:tcW w:w="3109" w:type="dxa"/>
            <w:shd w:val="clear" w:color="auto" w:fill="D0E0E3"/>
          </w:tcPr>
          <w:p w14:paraId="5CA6F3BB" w14:textId="77777777" w:rsidR="00D83718" w:rsidRPr="002B05E9" w:rsidRDefault="00D83718" w:rsidP="00E210F7"/>
        </w:tc>
        <w:tc>
          <w:tcPr>
            <w:tcW w:w="3110" w:type="dxa"/>
            <w:shd w:val="clear" w:color="auto" w:fill="FFE599" w:themeFill="accent4" w:themeFillTint="66"/>
          </w:tcPr>
          <w:p w14:paraId="0BE135B0" w14:textId="77777777" w:rsidR="00D83718" w:rsidRPr="002B05E9" w:rsidRDefault="00D83718" w:rsidP="00E210F7"/>
        </w:tc>
        <w:tc>
          <w:tcPr>
            <w:tcW w:w="3110" w:type="dxa"/>
            <w:shd w:val="clear" w:color="auto" w:fill="FFE599" w:themeFill="accent4" w:themeFillTint="66"/>
          </w:tcPr>
          <w:p w14:paraId="59D551DD" w14:textId="77777777" w:rsidR="00D83718" w:rsidRPr="002B05E9" w:rsidRDefault="00D83718" w:rsidP="00E210F7"/>
        </w:tc>
      </w:tr>
      <w:tr w:rsidR="00D83718" w:rsidRPr="002B05E9" w14:paraId="5EF1C5F6" w14:textId="77777777" w:rsidTr="59EBABAF">
        <w:trPr>
          <w:trHeight w:val="711"/>
        </w:trPr>
        <w:tc>
          <w:tcPr>
            <w:tcW w:w="3143" w:type="dxa"/>
            <w:vMerge/>
          </w:tcPr>
          <w:p w14:paraId="456205D1"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1D5844B2" w14:textId="050E4C9A" w:rsidR="00D83718" w:rsidRPr="002B05E9" w:rsidRDefault="00D83718" w:rsidP="00E210F7">
            <w:r>
              <w:t xml:space="preserve">(b) actively engaged with colleague(s) in pre- and post-observation discussions, actively engaged with colleagues in the context of the school as a professional learning community, and sought their guidance and support when </w:t>
            </w:r>
            <w:r w:rsidR="47F34723">
              <w:t>necessary,</w:t>
            </w:r>
            <w:r>
              <w:t xml:space="preserve"> including regular professional conversations and quarterly reviews</w:t>
            </w:r>
            <w:bookmarkStart w:id="2" w:name="_heading=h.gjdgxs"/>
            <w:bookmarkEnd w:id="2"/>
            <w:r w:rsidR="15D0EEFA">
              <w:t>.</w:t>
            </w:r>
          </w:p>
        </w:tc>
        <w:tc>
          <w:tcPr>
            <w:tcW w:w="3109" w:type="dxa"/>
            <w:shd w:val="clear" w:color="auto" w:fill="D0E0E3"/>
          </w:tcPr>
          <w:p w14:paraId="5E501051" w14:textId="77777777" w:rsidR="00D83718" w:rsidRPr="002B05E9" w:rsidRDefault="00D83718" w:rsidP="00E210F7"/>
        </w:tc>
        <w:tc>
          <w:tcPr>
            <w:tcW w:w="3110" w:type="dxa"/>
            <w:shd w:val="clear" w:color="auto" w:fill="FFE599" w:themeFill="accent4" w:themeFillTint="66"/>
          </w:tcPr>
          <w:p w14:paraId="408EE159" w14:textId="77777777" w:rsidR="00D83718" w:rsidRPr="002B05E9" w:rsidRDefault="00D83718" w:rsidP="00E210F7"/>
        </w:tc>
        <w:tc>
          <w:tcPr>
            <w:tcW w:w="3110" w:type="dxa"/>
            <w:shd w:val="clear" w:color="auto" w:fill="FFE599" w:themeFill="accent4" w:themeFillTint="66"/>
          </w:tcPr>
          <w:p w14:paraId="4467D8B7" w14:textId="77777777" w:rsidR="00D83718" w:rsidRPr="002B05E9" w:rsidRDefault="00D83718" w:rsidP="00E210F7"/>
        </w:tc>
      </w:tr>
      <w:tr w:rsidR="00D83718" w:rsidRPr="002B05E9" w14:paraId="223C1E37" w14:textId="77777777" w:rsidTr="59EBABAF">
        <w:tc>
          <w:tcPr>
            <w:tcW w:w="3143" w:type="dxa"/>
            <w:vMerge/>
          </w:tcPr>
          <w:p w14:paraId="7C445444" w14:textId="77777777" w:rsidR="00D83718" w:rsidRPr="002B05E9" w:rsidRDefault="00D83718" w:rsidP="00E210F7">
            <w:pPr>
              <w:widowControl w:val="0"/>
              <w:pBdr>
                <w:top w:val="nil"/>
                <w:left w:val="nil"/>
                <w:bottom w:val="nil"/>
                <w:right w:val="nil"/>
                <w:between w:val="nil"/>
              </w:pBdr>
              <w:spacing w:after="0" w:line="276" w:lineRule="auto"/>
            </w:pPr>
          </w:p>
        </w:tc>
        <w:tc>
          <w:tcPr>
            <w:tcW w:w="3546" w:type="dxa"/>
            <w:shd w:val="clear" w:color="auto" w:fill="D0E0E3"/>
          </w:tcPr>
          <w:p w14:paraId="6461B61A" w14:textId="41E30756" w:rsidR="00D83718" w:rsidRPr="002B05E9" w:rsidRDefault="00D83718" w:rsidP="00E210F7">
            <w:r w:rsidRPr="002B05E9">
              <w:t xml:space="preserve">(c) Created and maintained </w:t>
            </w:r>
            <w:r w:rsidRPr="00A001B1">
              <w:t>Taisce,</w:t>
            </w:r>
            <w:r w:rsidRPr="002B05E9">
              <w:t xml:space="preserve"> as a self-directed learner to support reflective practice and engagemen</w:t>
            </w:r>
            <w:r w:rsidR="00A001B1">
              <w:t>t in professional conversations</w:t>
            </w:r>
            <w:r w:rsidRPr="002B05E9">
              <w:t xml:space="preserve"> </w:t>
            </w:r>
          </w:p>
        </w:tc>
        <w:tc>
          <w:tcPr>
            <w:tcW w:w="3109" w:type="dxa"/>
            <w:shd w:val="clear" w:color="auto" w:fill="D0E0E3"/>
          </w:tcPr>
          <w:p w14:paraId="1393F7F6" w14:textId="77777777" w:rsidR="00D83718" w:rsidRPr="002B05E9" w:rsidRDefault="00D83718" w:rsidP="00E210F7"/>
        </w:tc>
        <w:tc>
          <w:tcPr>
            <w:tcW w:w="3110" w:type="dxa"/>
            <w:shd w:val="clear" w:color="auto" w:fill="FFE599" w:themeFill="accent4" w:themeFillTint="66"/>
          </w:tcPr>
          <w:p w14:paraId="2E9C5D27" w14:textId="77777777" w:rsidR="00D83718" w:rsidRPr="002B05E9" w:rsidRDefault="00D83718" w:rsidP="00E210F7"/>
        </w:tc>
        <w:tc>
          <w:tcPr>
            <w:tcW w:w="3110" w:type="dxa"/>
            <w:shd w:val="clear" w:color="auto" w:fill="FFE599" w:themeFill="accent4" w:themeFillTint="66"/>
          </w:tcPr>
          <w:p w14:paraId="3FAE7144" w14:textId="77777777" w:rsidR="00D83718" w:rsidRPr="002B05E9" w:rsidRDefault="00D83718" w:rsidP="00E210F7"/>
        </w:tc>
      </w:tr>
    </w:tbl>
    <w:p w14:paraId="2C3BF2C2" w14:textId="6550B249" w:rsidR="00B92069" w:rsidRDefault="00B92069"/>
    <w:sectPr w:rsidR="00B92069" w:rsidSect="006A1DE2">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440" w:bottom="1440" w:left="1440" w:header="426" w:footer="708"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AC96C3" w16cex:dateUtc="2023-09-14T22:10:45.727Z"/>
</w16cex:commentsExtensible>
</file>

<file path=word/commentsIds.xml><?xml version="1.0" encoding="utf-8"?>
<w16cid:commentsIds xmlns:mc="http://schemas.openxmlformats.org/markup-compatibility/2006" xmlns:w16cid="http://schemas.microsoft.com/office/word/2016/wordml/cid" mc:Ignorable="w16cid">
  <w16cid:commentId w16cid:paraId="6AD1C772" w16cid:durableId="16AC96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0133" w14:textId="77777777" w:rsidR="00367D99" w:rsidRDefault="00367D99">
      <w:pPr>
        <w:spacing w:after="0" w:line="240" w:lineRule="auto"/>
      </w:pPr>
      <w:r>
        <w:separator/>
      </w:r>
    </w:p>
  </w:endnote>
  <w:endnote w:type="continuationSeparator" w:id="0">
    <w:p w14:paraId="1C4E1998" w14:textId="77777777" w:rsidR="00367D99" w:rsidRDefault="0036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4087" w14:textId="77777777" w:rsidR="00B92069" w:rsidRDefault="00B9206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DBA9" w14:textId="5F85D909" w:rsidR="00B92069" w:rsidRDefault="0009019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5408" behindDoc="0" locked="0" layoutInCell="1" allowOverlap="1" wp14:anchorId="37AE2C0B" wp14:editId="5A449628">
          <wp:simplePos x="0" y="0"/>
          <wp:positionH relativeFrom="column">
            <wp:posOffset>6202680</wp:posOffset>
          </wp:positionH>
          <wp:positionV relativeFrom="paragraph">
            <wp:posOffset>-151130</wp:posOffset>
          </wp:positionV>
          <wp:extent cx="3429000" cy="590550"/>
          <wp:effectExtent l="0" t="0" r="0" b="0"/>
          <wp:wrapNone/>
          <wp:docPr id="1863010068" name="Graphic 127045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r:embed="rId2"/>
                      </a:ext>
                    </a:extLst>
                  </a:blip>
                  <a:stretch>
                    <a:fillRect/>
                  </a:stretch>
                </pic:blipFill>
                <pic:spPr>
                  <a:xfrm>
                    <a:off x="0" y="0"/>
                    <a:ext cx="3429000" cy="590550"/>
                  </a:xfrm>
                  <a:prstGeom prst="rect">
                    <a:avLst/>
                  </a:prstGeom>
                </pic:spPr>
              </pic:pic>
            </a:graphicData>
          </a:graphic>
        </wp:anchor>
      </w:drawing>
    </w:r>
    <w:r w:rsidRPr="001911DA">
      <w:rPr>
        <w:noProof/>
        <w:color w:val="000000"/>
      </w:rPr>
      <mc:AlternateContent>
        <mc:Choice Requires="wps">
          <w:drawing>
            <wp:anchor distT="0" distB="0" distL="114300" distR="114300" simplePos="0" relativeHeight="251669504" behindDoc="0" locked="0" layoutInCell="1" allowOverlap="1" wp14:anchorId="79E5DF11" wp14:editId="50D47508">
              <wp:simplePos x="0" y="0"/>
              <wp:positionH relativeFrom="leftMargin">
                <wp:posOffset>769620</wp:posOffset>
              </wp:positionH>
              <wp:positionV relativeFrom="bottomMargin">
                <wp:posOffset>15240</wp:posOffset>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7F9F88" w14:textId="26CEF82E" w:rsidR="00090197" w:rsidRPr="001911DA" w:rsidRDefault="00090197" w:rsidP="00090197">
                          <w:pPr>
                            <w:pBdr>
                              <w:top w:val="single" w:sz="4" w:space="1" w:color="7F7F7F" w:themeColor="background1" w:themeShade="7F"/>
                            </w:pBdr>
                            <w:jc w:val="center"/>
                          </w:pPr>
                          <w:r w:rsidRPr="001911DA">
                            <w:fldChar w:fldCharType="begin"/>
                          </w:r>
                          <w:r w:rsidRPr="001911DA">
                            <w:instrText xml:space="preserve"> PAGE   \* MERGEFORMAT </w:instrText>
                          </w:r>
                          <w:r w:rsidRPr="001911DA">
                            <w:fldChar w:fldCharType="separate"/>
                          </w:r>
                          <w:r w:rsidR="00DF6D7B">
                            <w:rPr>
                              <w:noProof/>
                            </w:rPr>
                            <w:t>6</w:t>
                          </w:r>
                          <w:r w:rsidRPr="001911DA">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E5DF11" id="Rectangle 3" o:spid="_x0000_s1026" style="position:absolute;margin-left:60.6pt;margin-top:1.2pt;width:44.55pt;height:15.1pt;rotation:180;flip:x;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" filled="f" fillcolor="#c0504d" stroked="f" strokecolor="#5c83b4" strokeweight="2.25pt">
              <v:textbox inset=",0,,0">
                <w:txbxContent>
                  <w:p w14:paraId="4A7F9F88" w14:textId="26CEF82E" w:rsidR="00090197" w:rsidRPr="001911DA" w:rsidRDefault="00090197" w:rsidP="00090197">
                    <w:pPr>
                      <w:pBdr>
                        <w:top w:val="single" w:sz="4" w:space="1" w:color="7F7F7F" w:themeColor="background1" w:themeShade="7F"/>
                      </w:pBdr>
                      <w:jc w:val="center"/>
                    </w:pPr>
                    <w:r w:rsidRPr="001911DA">
                      <w:fldChar w:fldCharType="begin"/>
                    </w:r>
                    <w:r w:rsidRPr="001911DA">
                      <w:instrText xml:space="preserve"> PAGE   \* MERGEFORMAT </w:instrText>
                    </w:r>
                    <w:r w:rsidRPr="001911DA">
                      <w:fldChar w:fldCharType="separate"/>
                    </w:r>
                    <w:r w:rsidR="00DF6D7B">
                      <w:rPr>
                        <w:noProof/>
                      </w:rPr>
                      <w:t>6</w:t>
                    </w:r>
                    <w:r w:rsidRPr="001911DA">
                      <w:rPr>
                        <w:noProof/>
                      </w:rPr>
                      <w:fldChar w:fldCharType="end"/>
                    </w:r>
                  </w:p>
                </w:txbxContent>
              </v:textbox>
              <w10:wrap anchorx="margin" anchory="margin"/>
            </v:rect>
          </w:pict>
        </mc:Fallback>
      </mc:AlternateContent>
    </w:r>
    <w:r>
      <w:rPr>
        <w:noProof/>
      </w:rPr>
      <mc:AlternateContent>
        <mc:Choice Requires="wps">
          <w:drawing>
            <wp:anchor distT="45720" distB="45720" distL="114300" distR="114300" simplePos="0" relativeHeight="251667456" behindDoc="0" locked="0" layoutInCell="1" allowOverlap="1" wp14:anchorId="039BDBB4" wp14:editId="090B9AFD">
              <wp:simplePos x="0" y="0"/>
              <wp:positionH relativeFrom="column">
                <wp:posOffset>-853440</wp:posOffset>
              </wp:positionH>
              <wp:positionV relativeFrom="paragraph">
                <wp:posOffset>182880</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10D781" w14:textId="77777777" w:rsidR="00090197" w:rsidRPr="00BE4945" w:rsidRDefault="00090197" w:rsidP="00090197">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type id="_x0000_t202" coordsize="21600,21600" o:spt="202" path="m,l,21600r21600,l21600,xe" w14:anchorId="039BDBB4">
              <v:stroke joinstyle="miter"/>
              <v:path gradientshapeok="t" o:connecttype="rect"/>
            </v:shapetype>
            <v:shape id="Text Box 2" style="position:absolute;margin-left:-67.2pt;margin-top:14.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k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">
              <v:textbox style="mso-fit-shape-to-text:t">
                <w:txbxContent>
                  <w:p w:rsidRPr="00BE4945" w:rsidR="00090197" w:rsidP="00090197" w:rsidRDefault="00090197" w14:paraId="2410D781" w14:textId="77777777">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v:textbox>
            </v:shape>
          </w:pict>
        </mc:Fallback>
      </mc:AlternateContent>
    </w:r>
    <w:r w:rsidR="000D770A">
      <w:rPr>
        <w:b/>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411F" w14:textId="19D17F03" w:rsidR="001911DA" w:rsidRPr="00BE4945" w:rsidRDefault="00090197" w:rsidP="001911DA">
    <w:pPr>
      <w:rPr>
        <w:b/>
        <w:bCs/>
        <w:color w:val="3B3838" w:themeColor="background2" w:themeShade="40"/>
      </w:rPr>
    </w:pPr>
    <w:r>
      <w:rPr>
        <w:noProof/>
      </w:rPr>
      <w:drawing>
        <wp:anchor distT="0" distB="0" distL="114300" distR="114300" simplePos="0" relativeHeight="251671552" behindDoc="0" locked="0" layoutInCell="1" allowOverlap="1" wp14:anchorId="24280870" wp14:editId="146D1CFD">
          <wp:simplePos x="0" y="0"/>
          <wp:positionH relativeFrom="page">
            <wp:posOffset>9052560</wp:posOffset>
          </wp:positionH>
          <wp:positionV relativeFrom="page">
            <wp:posOffset>6845636</wp:posOffset>
          </wp:positionV>
          <wp:extent cx="1461664" cy="510204"/>
          <wp:effectExtent l="0" t="0" r="5715" b="4445"/>
          <wp:wrapNone/>
          <wp:docPr id="1863010071" name="Graphic 186301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r:embed="rId2"/>
                      </a:ext>
                    </a:extLst>
                  </a:blip>
                  <a:stretch>
                    <a:fillRect/>
                  </a:stretch>
                </pic:blipFill>
                <pic:spPr>
                  <a:xfrm>
                    <a:off x="0" y="0"/>
                    <a:ext cx="1483281" cy="517749"/>
                  </a:xfrm>
                  <a:prstGeom prst="rect">
                    <a:avLst/>
                  </a:prstGeom>
                </pic:spPr>
              </pic:pic>
            </a:graphicData>
          </a:graphic>
          <wp14:sizeRelH relativeFrom="margin">
            <wp14:pctWidth>0</wp14:pctWidth>
          </wp14:sizeRelH>
          <wp14:sizeRelV relativeFrom="margin">
            <wp14:pctHeight>0</wp14:pctHeight>
          </wp14:sizeRelV>
        </wp:anchor>
      </w:drawing>
    </w:r>
    <w:r w:rsidR="001911DA" w:rsidRPr="001911DA">
      <w:rPr>
        <w:noProof/>
        <w:color w:val="000000"/>
      </w:rPr>
      <mc:AlternateContent>
        <mc:Choice Requires="wps">
          <w:drawing>
            <wp:anchor distT="0" distB="0" distL="114300" distR="114300" simplePos="0" relativeHeight="251661312" behindDoc="0" locked="0" layoutInCell="1" allowOverlap="1" wp14:anchorId="5731B1F2" wp14:editId="4C22C1E7">
              <wp:simplePos x="0" y="0"/>
              <wp:positionH relativeFrom="leftMargin">
                <wp:posOffset>646430</wp:posOffset>
              </wp:positionH>
              <wp:positionV relativeFrom="bottomMargin">
                <wp:posOffset>41275</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8846A15" w14:textId="4F35ACC7" w:rsidR="001911DA" w:rsidRPr="001911DA" w:rsidRDefault="001911DA">
                          <w:pPr>
                            <w:pBdr>
                              <w:top w:val="single" w:sz="4" w:space="1" w:color="7F7F7F" w:themeColor="background1" w:themeShade="7F"/>
                            </w:pBdr>
                            <w:jc w:val="center"/>
                          </w:pPr>
                          <w:r w:rsidRPr="001911DA">
                            <w:fldChar w:fldCharType="begin"/>
                          </w:r>
                          <w:r w:rsidRPr="001911DA">
                            <w:instrText xml:space="preserve"> PAGE   \* MERGEFORMAT </w:instrText>
                          </w:r>
                          <w:r w:rsidRPr="001911DA">
                            <w:fldChar w:fldCharType="separate"/>
                          </w:r>
                          <w:r w:rsidR="00DF6D7B">
                            <w:rPr>
                              <w:noProof/>
                            </w:rPr>
                            <w:t>1</w:t>
                          </w:r>
                          <w:r w:rsidRPr="001911DA">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31B1F2" id="Rectangle 1" o:spid="_x0000_s1028" style="position:absolute;margin-left:50.9pt;margin-top:3.25pt;width:44.55pt;height:15.1pt;rotation:180;flip:x;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" filled="f" fillcolor="#c0504d" stroked="f" strokecolor="#5c83b4" strokeweight="2.25pt">
              <v:textbox inset=",0,,0">
                <w:txbxContent>
                  <w:p w14:paraId="28846A15" w14:textId="4F35ACC7" w:rsidR="001911DA" w:rsidRPr="001911DA" w:rsidRDefault="001911DA">
                    <w:pPr>
                      <w:pBdr>
                        <w:top w:val="single" w:sz="4" w:space="1" w:color="7F7F7F" w:themeColor="background1" w:themeShade="7F"/>
                      </w:pBdr>
                      <w:jc w:val="center"/>
                    </w:pPr>
                    <w:r w:rsidRPr="001911DA">
                      <w:fldChar w:fldCharType="begin"/>
                    </w:r>
                    <w:r w:rsidRPr="001911DA">
                      <w:instrText xml:space="preserve"> PAGE   \* MERGEFORMAT </w:instrText>
                    </w:r>
                    <w:r w:rsidRPr="001911DA">
                      <w:fldChar w:fldCharType="separate"/>
                    </w:r>
                    <w:r w:rsidR="00DF6D7B">
                      <w:rPr>
                        <w:noProof/>
                      </w:rPr>
                      <w:t>1</w:t>
                    </w:r>
                    <w:r w:rsidRPr="001911DA">
                      <w:rPr>
                        <w:noProof/>
                      </w:rPr>
                      <w:fldChar w:fldCharType="end"/>
                    </w:r>
                  </w:p>
                </w:txbxContent>
              </v:textbox>
              <w10:wrap anchorx="margin" anchory="margin"/>
            </v:rect>
          </w:pict>
        </mc:Fallback>
      </mc:AlternateContent>
    </w:r>
  </w:p>
  <w:p w14:paraId="488028E5" w14:textId="19E24DDB" w:rsidR="00B92069" w:rsidRDefault="001911DA">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63360" behindDoc="0" locked="0" layoutInCell="1" allowOverlap="1" wp14:anchorId="759FFD74" wp14:editId="6C3D63E3">
              <wp:simplePos x="0" y="0"/>
              <wp:positionH relativeFrom="column">
                <wp:posOffset>-830580</wp:posOffset>
              </wp:positionH>
              <wp:positionV relativeFrom="paragraph">
                <wp:posOffset>175260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CAF8AB2" w14:textId="77777777" w:rsidR="001911DA" w:rsidRPr="00BE4945" w:rsidRDefault="001911DA" w:rsidP="001911DA">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type id="_x0000_t202" coordsize="21600,21600" o:spt="202" path="m,l,21600r21600,l21600,xe" w14:anchorId="759FFD74">
              <v:stroke joinstyle="miter"/>
              <v:path gradientshapeok="t" o:connecttype="rect"/>
            </v:shapetype>
            <v:shape id="_x0000_s1029" style="position:absolute;margin-left:-65.4pt;margin-top:13.8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">
              <v:textbox style="mso-fit-shape-to-text:t">
                <w:txbxContent>
                  <w:p w:rsidRPr="00BE4945" w:rsidR="001911DA" w:rsidP="001911DA" w:rsidRDefault="001911DA" w14:paraId="5CAF8AB2" w14:textId="77777777">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DD42D" w14:textId="77777777" w:rsidR="00367D99" w:rsidRDefault="00367D99">
      <w:pPr>
        <w:spacing w:after="0" w:line="240" w:lineRule="auto"/>
      </w:pPr>
      <w:r>
        <w:separator/>
      </w:r>
    </w:p>
  </w:footnote>
  <w:footnote w:type="continuationSeparator" w:id="0">
    <w:p w14:paraId="38440833" w14:textId="77777777" w:rsidR="00367D99" w:rsidRDefault="00367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2B3F" w14:textId="77777777" w:rsidR="00B92069" w:rsidRDefault="00B9206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CF59" w14:textId="7E1F236C" w:rsidR="00B92069" w:rsidRDefault="00B9206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57A5" w14:textId="77777777" w:rsidR="00B92069" w:rsidRDefault="000D770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5C7BF171" wp14:editId="19EA628E">
          <wp:simplePos x="0" y="0"/>
          <wp:positionH relativeFrom="column">
            <wp:posOffset>-900429</wp:posOffset>
          </wp:positionH>
          <wp:positionV relativeFrom="paragraph">
            <wp:posOffset>-590549</wp:posOffset>
          </wp:positionV>
          <wp:extent cx="5007610" cy="1224915"/>
          <wp:effectExtent l="0" t="0" r="0" b="0"/>
          <wp:wrapSquare wrapText="bothSides" distT="0" distB="0" distL="114300" distR="114300"/>
          <wp:docPr id="18630100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07610" cy="12249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69"/>
    <w:rsid w:val="00090197"/>
    <w:rsid w:val="000D770A"/>
    <w:rsid w:val="000F577F"/>
    <w:rsid w:val="0017155F"/>
    <w:rsid w:val="001911DA"/>
    <w:rsid w:val="00224F06"/>
    <w:rsid w:val="00367D99"/>
    <w:rsid w:val="003E368A"/>
    <w:rsid w:val="004E4BF9"/>
    <w:rsid w:val="006A1DE2"/>
    <w:rsid w:val="00744179"/>
    <w:rsid w:val="00754626"/>
    <w:rsid w:val="00805D66"/>
    <w:rsid w:val="008077DC"/>
    <w:rsid w:val="008F4675"/>
    <w:rsid w:val="00A001B1"/>
    <w:rsid w:val="00B92069"/>
    <w:rsid w:val="00D83718"/>
    <w:rsid w:val="00DF6D7B"/>
    <w:rsid w:val="00EC2501"/>
    <w:rsid w:val="00EF65A1"/>
    <w:rsid w:val="15D0EEFA"/>
    <w:rsid w:val="2229454E"/>
    <w:rsid w:val="2DC3133D"/>
    <w:rsid w:val="319B679E"/>
    <w:rsid w:val="34D46EDD"/>
    <w:rsid w:val="47F34723"/>
    <w:rsid w:val="59EBABAF"/>
    <w:rsid w:val="6119880E"/>
    <w:rsid w:val="7EF22A02"/>
    <w:rsid w:val="7F0F4E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15732"/>
  <w15:docId w15:val="{378492B4-1470-4A33-850E-5990C371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5B"/>
  </w:style>
  <w:style w:type="paragraph" w:styleId="Heading1">
    <w:name w:val="heading 1"/>
    <w:basedOn w:val="Normal"/>
    <w:link w:val="Heading1Char"/>
    <w:uiPriority w:val="9"/>
    <w:qFormat/>
    <w:rsid w:val="00A17F5B"/>
    <w:pPr>
      <w:widowControl w:val="0"/>
      <w:autoSpaceDE w:val="0"/>
      <w:autoSpaceDN w:val="0"/>
      <w:spacing w:before="100" w:after="0" w:line="240" w:lineRule="auto"/>
      <w:ind w:left="680"/>
      <w:outlineLvl w:val="0"/>
    </w:pPr>
    <w:rPr>
      <w:rFonts w:eastAsia="Verdana" w:cs="Verdana"/>
      <w:b/>
      <w:bCs/>
      <w:sz w:val="48"/>
      <w:szCs w:val="36"/>
      <w:lang w:bidi="en-IE"/>
    </w:rPr>
  </w:style>
  <w:style w:type="paragraph" w:styleId="Heading2">
    <w:name w:val="heading 2"/>
    <w:basedOn w:val="Normal"/>
    <w:next w:val="Normal"/>
    <w:link w:val="Heading2Char"/>
    <w:uiPriority w:val="9"/>
    <w:semiHidden/>
    <w:unhideWhenUsed/>
    <w:qFormat/>
    <w:rsid w:val="00A17F5B"/>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A17F5B"/>
    <w:rPr>
      <w:rFonts w:ascii="Arial" w:eastAsia="Verdana" w:hAnsi="Arial" w:cs="Verdana"/>
      <w:b/>
      <w:bCs/>
      <w:sz w:val="48"/>
      <w:szCs w:val="36"/>
      <w:lang w:eastAsia="en-IE" w:bidi="en-IE"/>
    </w:rPr>
  </w:style>
  <w:style w:type="paragraph" w:styleId="Header">
    <w:name w:val="header"/>
    <w:basedOn w:val="Normal"/>
    <w:link w:val="HeaderChar"/>
    <w:uiPriority w:val="99"/>
    <w:unhideWhenUsed/>
    <w:rsid w:val="001A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5F"/>
    <w:rPr>
      <w:lang w:val="en-GB"/>
    </w:rPr>
  </w:style>
  <w:style w:type="paragraph" w:styleId="Footer">
    <w:name w:val="footer"/>
    <w:basedOn w:val="Normal"/>
    <w:link w:val="FooterChar"/>
    <w:uiPriority w:val="99"/>
    <w:unhideWhenUsed/>
    <w:rsid w:val="001A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5F"/>
    <w:rPr>
      <w:lang w:val="en-GB"/>
    </w:rPr>
  </w:style>
  <w:style w:type="character" w:customStyle="1" w:styleId="Heading2Char">
    <w:name w:val="Heading 2 Char"/>
    <w:basedOn w:val="DefaultParagraphFont"/>
    <w:link w:val="Heading2"/>
    <w:uiPriority w:val="9"/>
    <w:semiHidden/>
    <w:rsid w:val="00A17F5B"/>
    <w:rPr>
      <w:rFonts w:ascii="Arial" w:eastAsiaTheme="majorEastAsia" w:hAnsi="Arial" w:cstheme="majorBidi"/>
      <w:b/>
      <w:color w:val="2F5496" w:themeColor="accent1" w:themeShade="BF"/>
      <w:sz w:val="28"/>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4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6D7B"/>
    <w:rPr>
      <w:b/>
      <w:bCs/>
    </w:rPr>
  </w:style>
  <w:style w:type="character" w:customStyle="1" w:styleId="CommentSubjectChar">
    <w:name w:val="Comment Subject Char"/>
    <w:basedOn w:val="CommentTextChar"/>
    <w:link w:val="CommentSubject"/>
    <w:uiPriority w:val="99"/>
    <w:semiHidden/>
    <w:rsid w:val="00DF6D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68e505a195244ea4"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c56d1d4411824006"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1" ma:contentTypeDescription="Create a new document." ma:contentTypeScope="" ma:versionID="dbb31765ef0bd70f95cfceb40d52a8dc">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c452110e4b8631efcba61137bee33074"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735890e-60c1-4f0c-b450-c8e45542dcf8}"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2tv6O+NnBblMXkbKyR2oRqpWKQ==">CgMxLjA4AHIhMXVRWUFaUmo0QjdQQXFNSTlzYklUTU91Qk1Ha1lvLTAt</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46da6fe7-9f01-4e2c-8767-23ae1d36ae7f">
      <UserInfo>
        <DisplayName/>
        <AccountId xsi:nil="true"/>
        <AccountType/>
      </UserInfo>
    </SharedWithUsers>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D4C3A-0061-41EB-9058-8D606884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ae88-9023-4e9e-b049-743ab2c07744"/>
    <ds:schemaRef ds:uri="46da6fe7-9f01-4e2c-8767-23ae1d36a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750E616-75BD-4EC3-BB6D-A546B61BCC50}">
  <ds:schemaRefs>
    <ds:schemaRef ds:uri="http://schemas.microsoft.com/office/2006/metadata/properties"/>
    <ds:schemaRef ds:uri="http://schemas.microsoft.com/office/infopath/2007/PartnerControls"/>
    <ds:schemaRef ds:uri="46da6fe7-9f01-4e2c-8767-23ae1d36ae7f"/>
    <ds:schemaRef ds:uri="7630ae88-9023-4e9e-b049-743ab2c07744"/>
  </ds:schemaRefs>
</ds:datastoreItem>
</file>

<file path=customXml/itemProps4.xml><?xml version="1.0" encoding="utf-8"?>
<ds:datastoreItem xmlns:ds="http://schemas.openxmlformats.org/officeDocument/2006/customXml" ds:itemID="{C93DD76B-52D1-4737-B83F-C37DACF91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Dearbhla Keenaghan</dc:creator>
  <cp:lastModifiedBy>Elizabeth Farrell</cp:lastModifiedBy>
  <cp:revision>3</cp:revision>
  <dcterms:created xsi:type="dcterms:W3CDTF">2023-09-15T15:51:00Z</dcterms:created>
  <dcterms:modified xsi:type="dcterms:W3CDTF">2023-09-15T15:53:00Z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7b08d105fcfa1d61f4426813d5b2661edfc4b75d0f4ce8bc004c7dab9d75235e</vt:lpwstr>
  </property>
  <property fmtid="{D5CDD505-2E9C-101B-9397-08002B2CF9AE}" pid="3" name="ContentTypeId">
    <vt:lpwstr>0x010100B034696910322C49BE3CD47349948BB5</vt:lpwstr>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